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2" w:rsidRPr="00172E94" w:rsidRDefault="00116159" w:rsidP="00172E94">
      <w:pPr>
        <w:spacing w:after="0"/>
        <w:jc w:val="center"/>
        <w:rPr>
          <w:b/>
          <w:bCs/>
        </w:rPr>
      </w:pPr>
      <w:r w:rsidRPr="00172E94">
        <w:rPr>
          <w:b/>
          <w:bCs/>
        </w:rPr>
        <w:t>International Financial Markets</w:t>
      </w:r>
    </w:p>
    <w:p w:rsidR="00116159" w:rsidRPr="00172E94" w:rsidRDefault="008506D2" w:rsidP="00172E9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Tutorial </w:t>
      </w:r>
    </w:p>
    <w:p w:rsidR="00116159" w:rsidRPr="00172E94" w:rsidRDefault="00116159" w:rsidP="008506D2">
      <w:pPr>
        <w:spacing w:after="0"/>
        <w:jc w:val="center"/>
        <w:rPr>
          <w:b/>
          <w:bCs/>
        </w:rPr>
      </w:pPr>
      <w:r w:rsidRPr="00172E94">
        <w:rPr>
          <w:b/>
          <w:bCs/>
        </w:rPr>
        <w:t>Home Work</w:t>
      </w:r>
      <w:r w:rsidR="003E7E37">
        <w:rPr>
          <w:b/>
          <w:bCs/>
        </w:rPr>
        <w:t xml:space="preserve"> </w:t>
      </w:r>
      <w:r w:rsidR="008506D2">
        <w:rPr>
          <w:b/>
          <w:bCs/>
        </w:rPr>
        <w:t>3</w:t>
      </w:r>
    </w:p>
    <w:p w:rsidR="002C3489" w:rsidRPr="005036BC" w:rsidRDefault="008506D2" w:rsidP="008506D2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Banking and Financial Infrastructure</w:t>
      </w:r>
    </w:p>
    <w:p w:rsidR="002C3489" w:rsidRPr="005036BC" w:rsidRDefault="002C3489" w:rsidP="002C348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59" w:rsidRDefault="00116159" w:rsidP="00116159">
      <w:r>
        <w:t xml:space="preserve">Following are 20 questions, each worth five points.  Indicate the answers you think most correct. </w:t>
      </w: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BD9" w:rsidRPr="005036BC">
        <w:rPr>
          <w:rFonts w:ascii="Times New Roman" w:hAnsi="Times New Roman" w:cs="Times New Roman"/>
          <w:sz w:val="24"/>
          <w:szCs w:val="24"/>
        </w:rPr>
        <w:t>) Which of the following is NOT an electronic payment system?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036BC">
        <w:rPr>
          <w:rFonts w:ascii="Times New Roman" w:hAnsi="Times New Roman" w:cs="Times New Roman"/>
          <w:sz w:val="24"/>
          <w:szCs w:val="24"/>
        </w:rPr>
        <w:t>Fedwire</w:t>
      </w:r>
      <w:proofErr w:type="spellEnd"/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>B) CHAPS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BC">
        <w:rPr>
          <w:rFonts w:ascii="Times New Roman" w:hAnsi="Times New Roman" w:cs="Times New Roman"/>
          <w:sz w:val="24"/>
          <w:szCs w:val="24"/>
        </w:rPr>
        <w:t>Franc2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>D) BOJ-NET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BD9" w:rsidRPr="005036BC">
        <w:rPr>
          <w:rFonts w:ascii="Times New Roman" w:hAnsi="Times New Roman" w:cs="Times New Roman"/>
          <w:sz w:val="24"/>
          <w:szCs w:val="24"/>
        </w:rPr>
        <w:t>) Which of the following is not risk inherent in global payment systems?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credit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risk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risk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liquidity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risk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default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risk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BD9" w:rsidRPr="005036BC">
        <w:rPr>
          <w:rFonts w:ascii="Times New Roman" w:hAnsi="Times New Roman" w:cs="Times New Roman"/>
          <w:sz w:val="24"/>
          <w:szCs w:val="24"/>
        </w:rPr>
        <w:t xml:space="preserve">) Which of the following would be effective at reducing the amount of </w:t>
      </w:r>
      <w:proofErr w:type="spellStart"/>
      <w:r w:rsidR="00E81BD9" w:rsidRPr="005036BC">
        <w:rPr>
          <w:rFonts w:ascii="Times New Roman" w:hAnsi="Times New Roman" w:cs="Times New Roman"/>
          <w:sz w:val="24"/>
          <w:szCs w:val="24"/>
        </w:rPr>
        <w:t>Herstatt</w:t>
      </w:r>
      <w:proofErr w:type="spellEnd"/>
      <w:r w:rsidR="00E81BD9" w:rsidRPr="005036BC">
        <w:rPr>
          <w:rFonts w:ascii="Times New Roman" w:hAnsi="Times New Roman" w:cs="Times New Roman"/>
          <w:sz w:val="24"/>
          <w:szCs w:val="24"/>
        </w:rPr>
        <w:t xml:space="preserve"> risk in a payment system?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managers double check transactions entered by employees at the end of each day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limiting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the countries allowed to use the payment system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limiting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the firms allowed to use the payment system through credit checks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the system open 24-7-365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1BD9" w:rsidRPr="005036BC">
        <w:rPr>
          <w:rFonts w:ascii="Times New Roman" w:hAnsi="Times New Roman" w:cs="Times New Roman"/>
          <w:sz w:val="24"/>
          <w:szCs w:val="24"/>
        </w:rPr>
        <w:t>) Why would a country's currency come under a speculative attack?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>A) A country raises its interest rate too high attracting currency investors.</w:t>
      </w:r>
      <w:r w:rsidRPr="0034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>B) A country announces a poor monetary policy decision.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>C) A country has nearly exhausted its foreign currency reserves.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>D) A country changes its monetary regime unexpectedly.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BD9" w:rsidRPr="005036BC">
        <w:rPr>
          <w:rFonts w:ascii="Times New Roman" w:hAnsi="Times New Roman" w:cs="Times New Roman"/>
          <w:sz w:val="24"/>
          <w:szCs w:val="24"/>
        </w:rPr>
        <w:t>) A contagion effect is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speculators perceive that a problem in one nation is likely to repeat itself in another.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policymakers in one country mimic the actions of another country.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two countries with fixed exchange rates conduct joint monetary policy.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a country runs out of foreign exchange reserves.</w:t>
      </w:r>
    </w:p>
    <w:p w:rsidR="002666BA" w:rsidRDefault="002666BA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BD9" w:rsidRPr="005036BC">
        <w:rPr>
          <w:rFonts w:ascii="Times New Roman" w:hAnsi="Times New Roman" w:cs="Times New Roman"/>
          <w:sz w:val="24"/>
          <w:szCs w:val="24"/>
        </w:rPr>
        <w:t>) In regulating banks, most goals are satisfied by the implementation of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fundamentals.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requirements.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reserve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requirements.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risk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limitations.</w:t>
      </w:r>
    </w:p>
    <w:p w:rsidR="00E81BD9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A0BC8" w:rsidRDefault="005A0BC8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A0BC8" w:rsidRDefault="005A0BC8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A0BC8" w:rsidRPr="005036BC" w:rsidRDefault="005A0BC8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1BD9" w:rsidRPr="005036BC">
        <w:rPr>
          <w:rFonts w:ascii="Times New Roman" w:hAnsi="Times New Roman" w:cs="Times New Roman"/>
          <w:sz w:val="24"/>
          <w:szCs w:val="24"/>
        </w:rPr>
        <w:t xml:space="preserve">) The administrative body overseeing capital requirement regulation is 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Bank for International Settlements in Basel, Switzerland.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Bank for International Agreements in New York, NY.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World Bank in Washington, DC.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Bank for International Negotiations in Geneva, Switzerland.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BD9" w:rsidRPr="005036BC">
        <w:rPr>
          <w:rFonts w:ascii="Times New Roman" w:hAnsi="Times New Roman" w:cs="Times New Roman"/>
          <w:sz w:val="24"/>
          <w:szCs w:val="24"/>
        </w:rPr>
        <w:t>) What is a fiscal agent?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bank that issues, services, and redeems government debt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organization that oversees fiscal spending in an economy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bank that represents a government in foreign trading transactions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organization set up by a government to secure financing for fiscal transactions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BD9" w:rsidRPr="005036BC">
        <w:rPr>
          <w:rFonts w:ascii="Times New Roman" w:hAnsi="Times New Roman" w:cs="Times New Roman"/>
          <w:sz w:val="24"/>
          <w:szCs w:val="24"/>
        </w:rPr>
        <w:t>) Which of the following is a central bank asset?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deposits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currency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notes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reserve deposits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domestic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securities and bills</w:t>
      </w:r>
    </w:p>
    <w:p w:rsidR="00E81BD9" w:rsidRPr="005036BC" w:rsidRDefault="008506D2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BD9">
        <w:rPr>
          <w:rFonts w:ascii="Times New Roman" w:hAnsi="Times New Roman" w:cs="Times New Roman"/>
          <w:sz w:val="24"/>
          <w:szCs w:val="24"/>
        </w:rPr>
        <w:t>0</w:t>
      </w:r>
      <w:r w:rsidR="00E81BD9" w:rsidRPr="005036BC">
        <w:rPr>
          <w:rFonts w:ascii="Times New Roman" w:hAnsi="Times New Roman" w:cs="Times New Roman"/>
          <w:sz w:val="24"/>
          <w:szCs w:val="24"/>
        </w:rPr>
        <w:t>) The World Bank primarily issues loans in order to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promote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long-term development and growth in a developing nation.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ensure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long term stability within a banking system.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the global lender of the last resort in the case of financial crisis.</w:t>
      </w:r>
    </w:p>
    <w:p w:rsidR="00E81BD9" w:rsidRPr="005036BC" w:rsidRDefault="00E81BD9" w:rsidP="00E81B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36B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036BC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 w:rsidRPr="005036BC">
        <w:rPr>
          <w:rFonts w:ascii="Times New Roman" w:hAnsi="Times New Roman" w:cs="Times New Roman"/>
          <w:sz w:val="24"/>
          <w:szCs w:val="24"/>
        </w:rPr>
        <w:t xml:space="preserve"> the IMF conditionality rules.</w:t>
      </w:r>
    </w:p>
    <w:p w:rsidR="00375CF6" w:rsidRDefault="00375CF6" w:rsidP="00375CF6">
      <w:pPr>
        <w:pStyle w:val="NormalText"/>
        <w:rPr>
          <w:rFonts w:asciiTheme="minorHAnsi" w:eastAsiaTheme="minorHAnsi" w:hAnsiTheme="minorHAnsi" w:cstheme="minorBidi"/>
          <w:color w:val="auto"/>
          <w:sz w:val="22"/>
          <w:szCs w:val="22"/>
          <w:lang w:bidi="he-IL"/>
        </w:rPr>
      </w:pP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1574C2">
        <w:rPr>
          <w:rFonts w:ascii="Times New Roman" w:hAnsi="Times New Roman" w:cs="Times New Roman"/>
          <w:b/>
          <w:bCs/>
          <w:sz w:val="24"/>
          <w:szCs w:val="24"/>
        </w:rPr>
        <w:t>The International Financial Architecture and Emerging Economies</w:t>
      </w:r>
    </w:p>
    <w:p w:rsidR="00375CF6" w:rsidRDefault="00375CF6" w:rsidP="00375CF6">
      <w:pPr>
        <w:ind w:left="0"/>
      </w:pP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74C2">
        <w:rPr>
          <w:rFonts w:ascii="Times New Roman" w:hAnsi="Times New Roman" w:cs="Times New Roman"/>
          <w:sz w:val="24"/>
          <w:szCs w:val="24"/>
        </w:rPr>
        <w:t>) Asymmetric information is a form of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market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imperfection.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regulatory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arbitrage.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market liberalization.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sector deregulation.</w:t>
      </w:r>
    </w:p>
    <w:p w:rsidR="005A0BC8" w:rsidRDefault="005A0BC8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74C2">
        <w:rPr>
          <w:rFonts w:ascii="Times New Roman" w:hAnsi="Times New Roman" w:cs="Times New Roman"/>
          <w:sz w:val="24"/>
          <w:szCs w:val="24"/>
        </w:rPr>
        <w:t>) Problems resulting from market imperfections include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adverse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selection.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herding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behavior.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moral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hazard.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>D) all of the above.</w:t>
      </w:r>
    </w:p>
    <w:p w:rsidR="00375CF6" w:rsidRDefault="00375CF6" w:rsidP="00375CF6">
      <w:pPr>
        <w:ind w:left="0"/>
      </w:pP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74C2">
        <w:rPr>
          <w:rFonts w:ascii="Times New Roman" w:hAnsi="Times New Roman" w:cs="Times New Roman"/>
          <w:sz w:val="24"/>
          <w:szCs w:val="24"/>
        </w:rPr>
        <w:t>) When firms choose to produce aboard instead of domestically, it may be the result of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herding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behavior.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regulatory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arbitrage.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moral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hazard.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>D) IMF intervention.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74C2">
        <w:rPr>
          <w:rFonts w:ascii="Times New Roman" w:hAnsi="Times New Roman" w:cs="Times New Roman"/>
          <w:sz w:val="24"/>
          <w:szCs w:val="24"/>
        </w:rPr>
        <w:t>) Portfolio capital flows tend to be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of an overall, longer term investment strategy.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term in nature.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in acquiring ownership positions in excess of 10%.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detrimental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to the development of a nation's financial sector.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574C2">
        <w:rPr>
          <w:rFonts w:ascii="Times New Roman" w:hAnsi="Times New Roman" w:cs="Times New Roman"/>
          <w:sz w:val="24"/>
          <w:szCs w:val="24"/>
        </w:rPr>
        <w:t>) The theory that every nation should choose an exchange rate regime that is either completely flexible or completely fixed is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as dollarization.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the standard for economic thought.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longer recommended by policy makers.</w:t>
      </w:r>
    </w:p>
    <w:p w:rsidR="00375CF6" w:rsidRPr="001574C2" w:rsidRDefault="00375CF6" w:rsidP="00375CF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as the corners hypothesis.</w:t>
      </w:r>
    </w:p>
    <w:p w:rsidR="005A0BC8" w:rsidRDefault="005A0BC8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4C2">
        <w:rPr>
          <w:rFonts w:ascii="Times New Roman" w:hAnsi="Times New Roman" w:cs="Times New Roman"/>
          <w:sz w:val="24"/>
          <w:szCs w:val="24"/>
        </w:rPr>
        <w:t>) One clear benefit of dollarization is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convenience of using the U.S. dollar for all transactions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elimination of treasury responsibilities.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reassurance that monetary policy is managed by experts.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>D).</w:t>
      </w:r>
      <w:r w:rsidRPr="000E7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4C2">
        <w:rPr>
          <w:rFonts w:ascii="Times New Roman" w:hAnsi="Times New Roman" w:cs="Times New Roman"/>
          <w:sz w:val="24"/>
          <w:szCs w:val="24"/>
        </w:rPr>
        <w:t>the reduction of country risk and risk premiums on interest rates.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574C2">
        <w:rPr>
          <w:rFonts w:ascii="Times New Roman" w:hAnsi="Times New Roman" w:cs="Times New Roman"/>
          <w:sz w:val="24"/>
          <w:szCs w:val="24"/>
        </w:rPr>
        <w:t>) One clear cost of dollarization is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price of importing U.S. dollars to the country.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loss of monetary policy independence.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inability of domestic banks to set their own interest rate structures.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loss of domestic financial architecture.</w:t>
      </w:r>
    </w:p>
    <w:p w:rsidR="005A0BC8" w:rsidRDefault="005A0BC8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1574C2">
        <w:rPr>
          <w:rFonts w:ascii="Times New Roman" w:hAnsi="Times New Roman" w:cs="Times New Roman"/>
          <w:sz w:val="24"/>
          <w:szCs w:val="24"/>
        </w:rPr>
        <w:t xml:space="preserve"> The trilemma refers to the idea that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policy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makers may choose two but not three of a set of policy options.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discretionary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monetary policy, fixed exchange rates, and liberalized capital markets cannot happen simultaneously.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policy makers choose to have liberalized capital markets, they can either have discretionary monetary policy or fixed exchange rates.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>D) all of the above</w:t>
      </w:r>
    </w:p>
    <w:p w:rsidR="00C81F9B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574C2">
        <w:rPr>
          <w:rFonts w:ascii="Times New Roman" w:hAnsi="Times New Roman" w:cs="Times New Roman"/>
          <w:sz w:val="24"/>
          <w:szCs w:val="24"/>
        </w:rPr>
        <w:t>) If policy makers try to implement a flexible exchange rate, capital market liberalization, and discretionary monetary policy, they may create a financial crisis. This problem is known as the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trilemma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>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risk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triangle.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sterilization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risk.</w:t>
      </w:r>
    </w:p>
    <w:p w:rsidR="00C81F9B" w:rsidRPr="001574C2" w:rsidRDefault="00C81F9B" w:rsidP="00C81F9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deconstruction matrix.</w:t>
      </w:r>
    </w:p>
    <w:p w:rsidR="00C81F9B" w:rsidRDefault="00C81F9B" w:rsidP="00375CF6">
      <w:pPr>
        <w:ind w:left="0"/>
      </w:pPr>
    </w:p>
    <w:p w:rsidR="002666BA" w:rsidRPr="001574C2" w:rsidRDefault="002666BA" w:rsidP="002666B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574C2">
        <w:rPr>
          <w:rFonts w:ascii="Times New Roman" w:hAnsi="Times New Roman" w:cs="Times New Roman"/>
          <w:sz w:val="24"/>
          <w:szCs w:val="24"/>
        </w:rPr>
        <w:t xml:space="preserve">) One economic variable that remains elusive is </w:t>
      </w:r>
    </w:p>
    <w:p w:rsidR="002666BA" w:rsidRPr="001574C2" w:rsidRDefault="002666BA" w:rsidP="002666B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debt servicing ratios.</w:t>
      </w:r>
    </w:p>
    <w:p w:rsidR="002666BA" w:rsidRPr="001574C2" w:rsidRDefault="002666BA" w:rsidP="002666B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financial crisis indicator.</w:t>
      </w:r>
    </w:p>
    <w:p w:rsidR="002666BA" w:rsidRPr="001574C2" w:rsidRDefault="002666BA" w:rsidP="002666B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actual amount of debt owned by private banks.</w:t>
      </w:r>
    </w:p>
    <w:p w:rsidR="002666BA" w:rsidRPr="001574C2" w:rsidRDefault="002666BA" w:rsidP="002666B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5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74C2">
        <w:rPr>
          <w:rFonts w:ascii="Times New Roman" w:hAnsi="Times New Roman" w:cs="Times New Roman"/>
          <w:sz w:val="24"/>
          <w:szCs w:val="24"/>
        </w:rPr>
        <w:t xml:space="preserve"> credit ratings of individual nations.</w:t>
      </w:r>
    </w:p>
    <w:p w:rsidR="00C81F9B" w:rsidRDefault="00C81F9B" w:rsidP="00375CF6">
      <w:pPr>
        <w:ind w:left="0"/>
      </w:pPr>
      <w:bookmarkStart w:id="0" w:name="_GoBack"/>
      <w:bookmarkEnd w:id="0"/>
    </w:p>
    <w:p w:rsidR="00C81F9B" w:rsidRDefault="00C81F9B" w:rsidP="00375CF6">
      <w:pPr>
        <w:ind w:left="0"/>
      </w:pPr>
    </w:p>
    <w:sectPr w:rsidR="00C81F9B" w:rsidSect="00213855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59" w:rsidRDefault="00116159" w:rsidP="00116159">
      <w:pPr>
        <w:spacing w:after="0" w:line="240" w:lineRule="auto"/>
      </w:pPr>
      <w:r>
        <w:separator/>
      </w:r>
    </w:p>
  </w:endnote>
  <w:endnote w:type="continuationSeparator" w:id="0">
    <w:p w:rsidR="00116159" w:rsidRDefault="00116159" w:rsidP="0011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59" w:rsidRDefault="00116159" w:rsidP="00116159">
      <w:pPr>
        <w:spacing w:after="0" w:line="240" w:lineRule="auto"/>
      </w:pPr>
      <w:r>
        <w:separator/>
      </w:r>
    </w:p>
  </w:footnote>
  <w:footnote w:type="continuationSeparator" w:id="0">
    <w:p w:rsidR="00116159" w:rsidRDefault="00116159" w:rsidP="0011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871"/>
    </w:tblGrid>
    <w:tr w:rsidR="00116159" w:rsidTr="00116159">
      <w:tc>
        <w:tcPr>
          <w:tcW w:w="4261" w:type="dxa"/>
        </w:tcPr>
        <w:p w:rsidR="00116159" w:rsidRDefault="00116159">
          <w:pPr>
            <w:pStyle w:val="Header"/>
            <w:ind w:left="0"/>
          </w:pPr>
          <w:r>
            <w:t>Instructor: Micheal Humphries</w:t>
          </w:r>
        </w:p>
      </w:tc>
      <w:tc>
        <w:tcPr>
          <w:tcW w:w="4261" w:type="dxa"/>
        </w:tcPr>
        <w:p w:rsidR="00116159" w:rsidRDefault="00116159" w:rsidP="00116159">
          <w:pPr>
            <w:pStyle w:val="Header"/>
            <w:bidi/>
            <w:ind w:left="0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116159" w:rsidRDefault="00116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59"/>
    <w:rsid w:val="00116159"/>
    <w:rsid w:val="00172E94"/>
    <w:rsid w:val="00193332"/>
    <w:rsid w:val="001E7FF1"/>
    <w:rsid w:val="00213855"/>
    <w:rsid w:val="002666BA"/>
    <w:rsid w:val="002C3489"/>
    <w:rsid w:val="00375CF6"/>
    <w:rsid w:val="003E7E37"/>
    <w:rsid w:val="005A0BC8"/>
    <w:rsid w:val="007465EF"/>
    <w:rsid w:val="008506D2"/>
    <w:rsid w:val="00C73A47"/>
    <w:rsid w:val="00C81F9B"/>
    <w:rsid w:val="00E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9"/>
  </w:style>
  <w:style w:type="paragraph" w:styleId="Footer">
    <w:name w:val="footer"/>
    <w:basedOn w:val="Normal"/>
    <w:link w:val="Foot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9"/>
  </w:style>
  <w:style w:type="table" w:styleId="TableGrid">
    <w:name w:val="Table Grid"/>
    <w:basedOn w:val="TableNormal"/>
    <w:uiPriority w:val="39"/>
    <w:rsid w:val="0011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3E7E3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9"/>
  </w:style>
  <w:style w:type="paragraph" w:styleId="Footer">
    <w:name w:val="footer"/>
    <w:basedOn w:val="Normal"/>
    <w:link w:val="Foot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9"/>
  </w:style>
  <w:style w:type="table" w:styleId="TableGrid">
    <w:name w:val="Table Grid"/>
    <w:basedOn w:val="TableNormal"/>
    <w:uiPriority w:val="39"/>
    <w:rsid w:val="0011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3E7E3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6</cp:revision>
  <dcterms:created xsi:type="dcterms:W3CDTF">2019-01-16T19:28:00Z</dcterms:created>
  <dcterms:modified xsi:type="dcterms:W3CDTF">2019-01-16T20:11:00Z</dcterms:modified>
</cp:coreProperties>
</file>