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833" w:rsidRDefault="00850833"/>
    <w:p w:rsidR="00954A6D" w:rsidRDefault="00954A6D"/>
    <w:p w:rsidR="00954A6D" w:rsidRPr="00953C1E" w:rsidRDefault="00954A6D" w:rsidP="00954A6D">
      <w:pPr>
        <w:spacing w:before="100" w:beforeAutospacing="1" w:after="100" w:afterAutospacing="1" w:line="240" w:lineRule="auto"/>
        <w:outlineLvl w:val="0"/>
        <w:rPr>
          <w:rFonts w:ascii="Verdana" w:eastAsia="Times New Roman" w:hAnsi="Verdana" w:cs="Times New Roman"/>
          <w:b/>
          <w:bCs/>
          <w:kern w:val="36"/>
          <w:sz w:val="24"/>
          <w:szCs w:val="24"/>
          <w:u w:val="single"/>
        </w:rPr>
      </w:pPr>
      <w:r w:rsidRPr="00953C1E">
        <w:rPr>
          <w:rFonts w:ascii="Verdana" w:eastAsia="Times New Roman" w:hAnsi="Verdana" w:cs="Times New Roman"/>
          <w:b/>
          <w:bCs/>
          <w:kern w:val="36"/>
          <w:sz w:val="24"/>
          <w:szCs w:val="24"/>
          <w:u w:val="single"/>
        </w:rPr>
        <w:t>Clearing Agencies</w:t>
      </w:r>
    </w:p>
    <w:p w:rsidR="00954A6D" w:rsidRPr="00954A6D" w:rsidRDefault="00954A6D" w:rsidP="00954A6D">
      <w:pPr>
        <w:pStyle w:val="NormalWeb"/>
        <w:rPr>
          <w:lang/>
        </w:rPr>
      </w:pPr>
      <w:r w:rsidRPr="00954A6D">
        <w:rPr>
          <w:lang/>
        </w:rPr>
        <w:t xml:space="preserve">A </w:t>
      </w:r>
      <w:r w:rsidRPr="00954A6D">
        <w:rPr>
          <w:b/>
          <w:bCs/>
          <w:lang/>
        </w:rPr>
        <w:t>clearing house</w:t>
      </w:r>
      <w:r w:rsidRPr="00954A6D">
        <w:rPr>
          <w:lang/>
        </w:rPr>
        <w:t xml:space="preserve"> is a financial institution that provides </w:t>
      </w:r>
      <w:hyperlink r:id="rId7" w:tooltip="Clearing (finance)" w:history="1">
        <w:r w:rsidRPr="00954A6D">
          <w:rPr>
            <w:rStyle w:val="Hyperlink"/>
            <w:color w:val="auto"/>
            <w:lang/>
          </w:rPr>
          <w:t>clearing</w:t>
        </w:r>
      </w:hyperlink>
      <w:r w:rsidRPr="00954A6D">
        <w:rPr>
          <w:lang/>
        </w:rPr>
        <w:t xml:space="preserve"> and </w:t>
      </w:r>
      <w:hyperlink r:id="rId8" w:tooltip="Settlement (finance)" w:history="1">
        <w:r w:rsidRPr="00954A6D">
          <w:rPr>
            <w:rStyle w:val="Hyperlink"/>
            <w:color w:val="auto"/>
            <w:lang/>
          </w:rPr>
          <w:t>settlement</w:t>
        </w:r>
      </w:hyperlink>
      <w:r w:rsidRPr="00954A6D">
        <w:rPr>
          <w:lang/>
        </w:rPr>
        <w:t xml:space="preserve"> services for financial and </w:t>
      </w:r>
      <w:hyperlink r:id="rId9" w:tooltip="Commodities" w:history="1">
        <w:r w:rsidRPr="00954A6D">
          <w:rPr>
            <w:rStyle w:val="Hyperlink"/>
            <w:color w:val="auto"/>
            <w:lang/>
          </w:rPr>
          <w:t>commodities</w:t>
        </w:r>
      </w:hyperlink>
      <w:r w:rsidRPr="00954A6D">
        <w:rPr>
          <w:lang/>
        </w:rPr>
        <w:t xml:space="preserve"> derivatives and </w:t>
      </w:r>
      <w:hyperlink r:id="rId10" w:tooltip="Securities" w:history="1">
        <w:r w:rsidRPr="00954A6D">
          <w:rPr>
            <w:rStyle w:val="Hyperlink"/>
            <w:color w:val="auto"/>
            <w:lang/>
          </w:rPr>
          <w:t>securities</w:t>
        </w:r>
      </w:hyperlink>
      <w:r w:rsidRPr="00954A6D">
        <w:rPr>
          <w:lang/>
        </w:rPr>
        <w:t xml:space="preserve"> transactions. These transactions may be executed on a </w:t>
      </w:r>
      <w:hyperlink r:id="rId11" w:tooltip="Futures exchange" w:history="1">
        <w:r w:rsidRPr="00954A6D">
          <w:rPr>
            <w:rStyle w:val="Hyperlink"/>
            <w:color w:val="auto"/>
            <w:lang/>
          </w:rPr>
          <w:t>futures exchange</w:t>
        </w:r>
      </w:hyperlink>
      <w:r w:rsidRPr="00954A6D">
        <w:rPr>
          <w:lang/>
        </w:rPr>
        <w:t xml:space="preserve"> or </w:t>
      </w:r>
      <w:hyperlink r:id="rId12" w:tooltip="Exchange (organized market)" w:history="1">
        <w:r w:rsidRPr="00954A6D">
          <w:rPr>
            <w:rStyle w:val="Hyperlink"/>
            <w:color w:val="auto"/>
            <w:lang/>
          </w:rPr>
          <w:t>securities exchange</w:t>
        </w:r>
      </w:hyperlink>
      <w:r w:rsidRPr="00954A6D">
        <w:rPr>
          <w:lang/>
        </w:rPr>
        <w:t xml:space="preserve">, as well as off-exchange in the </w:t>
      </w:r>
      <w:hyperlink r:id="rId13" w:tooltip="Over-the-counter (finance)" w:history="1">
        <w:r w:rsidRPr="00954A6D">
          <w:rPr>
            <w:rStyle w:val="Hyperlink"/>
            <w:color w:val="auto"/>
            <w:lang/>
          </w:rPr>
          <w:t>over-the-counter</w:t>
        </w:r>
      </w:hyperlink>
      <w:r w:rsidRPr="00954A6D">
        <w:rPr>
          <w:lang/>
        </w:rPr>
        <w:t xml:space="preserve"> (OTC) market. A clearing house stands between two clearing firms (also known as member firms or clearing participants) and its purpose is to reduce the risk of one (or more) clearing firm failing to honor its trade settlement obligations. A clearing house reduces the settlement risks by </w:t>
      </w:r>
      <w:hyperlink r:id="rId14" w:tooltip="Netting" w:history="1">
        <w:r w:rsidRPr="00954A6D">
          <w:rPr>
            <w:rStyle w:val="Hyperlink"/>
            <w:color w:val="auto"/>
            <w:lang/>
          </w:rPr>
          <w:t>netting</w:t>
        </w:r>
      </w:hyperlink>
      <w:r w:rsidRPr="00954A6D">
        <w:rPr>
          <w:lang/>
        </w:rPr>
        <w:t xml:space="preserve"> offsetting transactions between multiple counterparties, by requiring </w:t>
      </w:r>
      <w:hyperlink r:id="rId15" w:tooltip="Collateral (finance)" w:history="1">
        <w:r w:rsidRPr="00954A6D">
          <w:rPr>
            <w:rStyle w:val="Hyperlink"/>
            <w:color w:val="auto"/>
            <w:lang/>
          </w:rPr>
          <w:t>collateral</w:t>
        </w:r>
      </w:hyperlink>
      <w:r w:rsidRPr="00954A6D">
        <w:rPr>
          <w:lang/>
        </w:rPr>
        <w:t xml:space="preserve"> deposits (also called "</w:t>
      </w:r>
      <w:hyperlink r:id="rId16" w:tooltip="Margin (finance)" w:history="1">
        <w:r w:rsidRPr="00954A6D">
          <w:rPr>
            <w:rStyle w:val="Hyperlink"/>
            <w:color w:val="auto"/>
            <w:lang/>
          </w:rPr>
          <w:t>margin</w:t>
        </w:r>
      </w:hyperlink>
      <w:r w:rsidRPr="00954A6D">
        <w:rPr>
          <w:lang/>
        </w:rPr>
        <w:t xml:space="preserve"> deposits"), by providing independent valuation of trades and collateral, by monitoring the credit worthiness of the clearing firms, and in many cases, by providing a guarantee fund that can be used to cover losses that exceed a defaulting clearing firm's collateral on deposit.</w:t>
      </w:r>
    </w:p>
    <w:p w:rsidR="00954A6D" w:rsidRPr="00954A6D" w:rsidRDefault="00954A6D" w:rsidP="00954A6D">
      <w:pPr>
        <w:pStyle w:val="NormalWeb"/>
        <w:rPr>
          <w:lang/>
        </w:rPr>
      </w:pPr>
      <w:r w:rsidRPr="00954A6D">
        <w:rPr>
          <w:lang/>
        </w:rPr>
        <w:t xml:space="preserve">Once a trade has been executed by two counterparties either on an exchange, or in the OTC markets, the trade can be handed over to a clearing house, which then steps between the two original traders' clearing firms and assumes the legal counterparty risk for the trade. This process of transferring the trade title to the clearing house is called </w:t>
      </w:r>
      <w:hyperlink r:id="rId17" w:tooltip="Novation" w:history="1">
        <w:proofErr w:type="spellStart"/>
        <w:r w:rsidRPr="00954A6D">
          <w:rPr>
            <w:rStyle w:val="Hyperlink"/>
            <w:color w:val="auto"/>
            <w:lang/>
          </w:rPr>
          <w:t>novation</w:t>
        </w:r>
        <w:proofErr w:type="spellEnd"/>
      </w:hyperlink>
      <w:r w:rsidRPr="00954A6D">
        <w:rPr>
          <w:lang/>
        </w:rPr>
        <w:t>. It can take fractions of seconds in highly liquid futures markets; or days, or even weeks in some OTC markets.</w:t>
      </w:r>
    </w:p>
    <w:p w:rsidR="00954A6D" w:rsidRDefault="00954A6D" w:rsidP="00954A6D">
      <w:pPr>
        <w:pStyle w:val="NormalWeb"/>
        <w:rPr>
          <w:lang/>
        </w:rPr>
      </w:pPr>
      <w:r>
        <w:rPr>
          <w:lang/>
        </w:rPr>
        <w:t>As the clearing house concentrates the risk of settlement failures into itself and is able to isolate the effects of a failure of a market participant, it also needs to be properly managed and well-capitalized</w:t>
      </w:r>
      <w:hyperlink r:id="rId18" w:anchor="cite_note-1" w:history="1"/>
      <w:r>
        <w:rPr>
          <w:lang/>
        </w:rPr>
        <w:t xml:space="preserve"> in order to ensure its survival in the event of a significant adverse event, such as a large clearing firm defaulting or a market crash.</w:t>
      </w:r>
    </w:p>
    <w:p w:rsidR="00954A6D" w:rsidRDefault="00954A6D" w:rsidP="00954A6D">
      <w:pPr>
        <w:pStyle w:val="NormalWeb"/>
        <w:rPr>
          <w:lang/>
        </w:rPr>
      </w:pPr>
      <w:r>
        <w:rPr>
          <w:lang/>
        </w:rPr>
        <w:t>Many clearing house guarantee funds are capitalized with collateral from its clearing firms. In the event of a settlement failure, the clearing firm may be declared to be in default and clearing house default procedures may be utilized, which may include the orderly liquidation of the defaulting firm's positions and collateral. In the event of a significant clearing firm failure, the clearing house may draw on its guarantee fund in order to settle trades on behalf of the failed clearing firm.</w:t>
      </w:r>
    </w:p>
    <w:p w:rsidR="00954A6D" w:rsidRPr="00954A6D" w:rsidRDefault="00954A6D" w:rsidP="00954A6D">
      <w:pPr>
        <w:pStyle w:val="Heading3"/>
        <w:rPr>
          <w:color w:val="auto"/>
          <w:lang/>
        </w:rPr>
      </w:pPr>
      <w:proofErr w:type="gramStart"/>
      <w:r w:rsidRPr="00954A6D">
        <w:rPr>
          <w:rStyle w:val="mw-headline"/>
          <w:color w:val="auto"/>
          <w:lang/>
        </w:rPr>
        <w:t>Responsibilities</w:t>
      </w:r>
      <w:r w:rsidRPr="00954A6D">
        <w:rPr>
          <w:rStyle w:val="mw-editsection-bracket"/>
          <w:color w:val="auto"/>
          <w:lang/>
        </w:rPr>
        <w:t>[</w:t>
      </w:r>
      <w:proofErr w:type="gramEnd"/>
    </w:p>
    <w:p w:rsidR="00954A6D" w:rsidRDefault="00954A6D" w:rsidP="00954A6D">
      <w:pPr>
        <w:pStyle w:val="NormalWeb"/>
        <w:rPr>
          <w:lang/>
        </w:rPr>
      </w:pPr>
      <w:r>
        <w:rPr>
          <w:lang/>
        </w:rPr>
        <w:t>The central counterparty is responsible for:</w:t>
      </w:r>
    </w:p>
    <w:p w:rsidR="00954A6D" w:rsidRDefault="00954A6D" w:rsidP="00954A6D">
      <w:pPr>
        <w:numPr>
          <w:ilvl w:val="0"/>
          <w:numId w:val="1"/>
        </w:numPr>
        <w:spacing w:before="100" w:beforeAutospacing="1" w:after="100" w:afterAutospacing="1" w:line="240" w:lineRule="auto"/>
        <w:rPr>
          <w:lang/>
        </w:rPr>
      </w:pPr>
      <w:r>
        <w:rPr>
          <w:lang/>
        </w:rPr>
        <w:t>Market monitoring</w:t>
      </w:r>
    </w:p>
    <w:p w:rsidR="00954A6D" w:rsidRPr="00954A6D" w:rsidRDefault="00954A6D" w:rsidP="00954A6D">
      <w:pPr>
        <w:numPr>
          <w:ilvl w:val="1"/>
          <w:numId w:val="1"/>
        </w:numPr>
        <w:spacing w:before="100" w:beforeAutospacing="1" w:after="100" w:afterAutospacing="1" w:line="240" w:lineRule="auto"/>
        <w:rPr>
          <w:lang/>
        </w:rPr>
      </w:pPr>
      <w:r w:rsidRPr="00954A6D">
        <w:rPr>
          <w:lang/>
        </w:rPr>
        <w:t>Margin monitoring</w:t>
      </w:r>
    </w:p>
    <w:p w:rsidR="00954A6D" w:rsidRPr="00954A6D" w:rsidRDefault="00954A6D" w:rsidP="00954A6D">
      <w:pPr>
        <w:numPr>
          <w:ilvl w:val="2"/>
          <w:numId w:val="1"/>
        </w:numPr>
        <w:spacing w:before="100" w:beforeAutospacing="1" w:after="100" w:afterAutospacing="1" w:line="240" w:lineRule="auto"/>
        <w:rPr>
          <w:lang/>
        </w:rPr>
      </w:pPr>
      <w:r w:rsidRPr="00954A6D">
        <w:rPr>
          <w:lang/>
        </w:rPr>
        <w:t>Margin requirements</w:t>
      </w:r>
    </w:p>
    <w:p w:rsidR="00954A6D" w:rsidRPr="00954A6D" w:rsidRDefault="00954A6D" w:rsidP="00954A6D">
      <w:pPr>
        <w:numPr>
          <w:ilvl w:val="2"/>
          <w:numId w:val="1"/>
        </w:numPr>
        <w:spacing w:before="100" w:beforeAutospacing="1" w:after="100" w:afterAutospacing="1" w:line="240" w:lineRule="auto"/>
        <w:rPr>
          <w:lang/>
        </w:rPr>
      </w:pPr>
      <w:r w:rsidRPr="00954A6D">
        <w:rPr>
          <w:lang/>
        </w:rPr>
        <w:t>Margin checks</w:t>
      </w:r>
    </w:p>
    <w:p w:rsidR="00954A6D" w:rsidRPr="00954A6D" w:rsidRDefault="00954A6D" w:rsidP="00954A6D">
      <w:pPr>
        <w:numPr>
          <w:ilvl w:val="2"/>
          <w:numId w:val="1"/>
        </w:numPr>
        <w:spacing w:before="100" w:beforeAutospacing="1" w:after="100" w:afterAutospacing="1" w:line="240" w:lineRule="auto"/>
        <w:rPr>
          <w:lang/>
        </w:rPr>
      </w:pPr>
      <w:hyperlink r:id="rId19" w:tooltip="Margin call" w:history="1">
        <w:r w:rsidRPr="00954A6D">
          <w:rPr>
            <w:rStyle w:val="Hyperlink"/>
            <w:color w:val="auto"/>
            <w:lang/>
          </w:rPr>
          <w:t>Margin calls</w:t>
        </w:r>
      </w:hyperlink>
    </w:p>
    <w:p w:rsidR="00954A6D" w:rsidRPr="00954A6D" w:rsidRDefault="00954A6D" w:rsidP="00954A6D">
      <w:pPr>
        <w:numPr>
          <w:ilvl w:val="1"/>
          <w:numId w:val="1"/>
        </w:numPr>
        <w:spacing w:before="100" w:beforeAutospacing="1" w:after="100" w:afterAutospacing="1" w:line="240" w:lineRule="auto"/>
        <w:rPr>
          <w:lang/>
        </w:rPr>
      </w:pPr>
      <w:hyperlink r:id="rId20" w:tooltip="Mark to market" w:history="1">
        <w:r w:rsidRPr="00954A6D">
          <w:rPr>
            <w:rStyle w:val="Hyperlink"/>
            <w:color w:val="auto"/>
            <w:lang/>
          </w:rPr>
          <w:t>Mark to market</w:t>
        </w:r>
      </w:hyperlink>
      <w:r w:rsidRPr="00954A6D">
        <w:rPr>
          <w:lang/>
        </w:rPr>
        <w:t xml:space="preserve"> calculations</w:t>
      </w:r>
    </w:p>
    <w:p w:rsidR="00954A6D" w:rsidRPr="00954A6D" w:rsidRDefault="00954A6D" w:rsidP="00954A6D">
      <w:pPr>
        <w:numPr>
          <w:ilvl w:val="1"/>
          <w:numId w:val="1"/>
        </w:numPr>
        <w:spacing w:before="100" w:beforeAutospacing="1" w:after="100" w:afterAutospacing="1" w:line="240" w:lineRule="auto"/>
        <w:rPr>
          <w:lang/>
        </w:rPr>
      </w:pPr>
      <w:r w:rsidRPr="00954A6D">
        <w:rPr>
          <w:lang/>
        </w:rPr>
        <w:t>Risk checks</w:t>
      </w:r>
    </w:p>
    <w:p w:rsidR="00954A6D" w:rsidRPr="00954A6D" w:rsidRDefault="00954A6D" w:rsidP="00954A6D">
      <w:pPr>
        <w:numPr>
          <w:ilvl w:val="1"/>
          <w:numId w:val="1"/>
        </w:numPr>
        <w:spacing w:before="100" w:beforeAutospacing="1" w:after="100" w:afterAutospacing="1" w:line="240" w:lineRule="auto"/>
        <w:rPr>
          <w:lang/>
        </w:rPr>
      </w:pPr>
      <w:hyperlink r:id="rId21" w:tooltip="Clearing (finance)" w:history="1">
        <w:r w:rsidRPr="00954A6D">
          <w:rPr>
            <w:rStyle w:val="Hyperlink"/>
            <w:color w:val="auto"/>
            <w:lang/>
          </w:rPr>
          <w:t>clearing</w:t>
        </w:r>
      </w:hyperlink>
    </w:p>
    <w:p w:rsidR="00954A6D" w:rsidRPr="00954A6D" w:rsidRDefault="00954A6D" w:rsidP="00954A6D">
      <w:pPr>
        <w:numPr>
          <w:ilvl w:val="1"/>
          <w:numId w:val="1"/>
        </w:numPr>
        <w:spacing w:before="100" w:beforeAutospacing="1" w:after="100" w:afterAutospacing="1" w:line="240" w:lineRule="auto"/>
        <w:rPr>
          <w:lang/>
        </w:rPr>
      </w:pPr>
      <w:hyperlink r:id="rId22" w:tooltip="Settlement (finance)" w:history="1">
        <w:r w:rsidRPr="00954A6D">
          <w:rPr>
            <w:rStyle w:val="Hyperlink"/>
            <w:color w:val="auto"/>
            <w:lang/>
          </w:rPr>
          <w:t>settlement</w:t>
        </w:r>
      </w:hyperlink>
    </w:p>
    <w:p w:rsidR="00F51EBA" w:rsidRPr="00F51EBA" w:rsidRDefault="00F51EBA" w:rsidP="00F51EBA">
      <w:pPr>
        <w:spacing w:before="100" w:beforeAutospacing="1" w:after="100" w:afterAutospacing="1" w:line="240" w:lineRule="auto"/>
        <w:outlineLvl w:val="0"/>
        <w:rPr>
          <w:rFonts w:ascii="Verdana" w:eastAsia="Times New Roman" w:hAnsi="Verdana" w:cs="Times New Roman"/>
          <w:b/>
          <w:bCs/>
          <w:kern w:val="36"/>
          <w:sz w:val="24"/>
          <w:szCs w:val="24"/>
          <w:lang/>
        </w:rPr>
      </w:pPr>
      <w:r w:rsidRPr="00F51EBA">
        <w:rPr>
          <w:rFonts w:ascii="Verdana" w:eastAsia="Times New Roman" w:hAnsi="Verdana" w:cs="Times New Roman"/>
          <w:b/>
          <w:bCs/>
          <w:kern w:val="36"/>
          <w:sz w:val="24"/>
          <w:szCs w:val="24"/>
          <w:lang/>
        </w:rPr>
        <w:t>Margin</w:t>
      </w:r>
    </w:p>
    <w:p w:rsidR="00F51EBA" w:rsidRPr="00F51EBA" w:rsidRDefault="00F51EBA" w:rsidP="00F51EBA">
      <w:pPr>
        <w:pStyle w:val="NormalWeb"/>
        <w:rPr>
          <w:lang/>
        </w:rPr>
      </w:pPr>
      <w:r w:rsidRPr="00F51EBA">
        <w:rPr>
          <w:lang/>
        </w:rPr>
        <w:t xml:space="preserve">In </w:t>
      </w:r>
      <w:hyperlink r:id="rId23" w:tooltip="Finance" w:history="1">
        <w:r w:rsidRPr="00F51EBA">
          <w:rPr>
            <w:rStyle w:val="Hyperlink"/>
            <w:color w:val="auto"/>
            <w:lang/>
          </w:rPr>
          <w:t>finance</w:t>
        </w:r>
      </w:hyperlink>
      <w:r w:rsidRPr="00F51EBA">
        <w:rPr>
          <w:lang/>
        </w:rPr>
        <w:t xml:space="preserve">, a </w:t>
      </w:r>
      <w:r w:rsidRPr="00F51EBA">
        <w:rPr>
          <w:b/>
          <w:bCs/>
          <w:lang/>
        </w:rPr>
        <w:t>margin</w:t>
      </w:r>
      <w:r w:rsidRPr="00F51EBA">
        <w:rPr>
          <w:lang/>
        </w:rPr>
        <w:t xml:space="preserve"> is </w:t>
      </w:r>
      <w:hyperlink r:id="rId24" w:tooltip="Collateral (finance)" w:history="1">
        <w:r w:rsidRPr="00F51EBA">
          <w:rPr>
            <w:rStyle w:val="Hyperlink"/>
            <w:color w:val="auto"/>
            <w:lang/>
          </w:rPr>
          <w:t>collateral</w:t>
        </w:r>
      </w:hyperlink>
      <w:r w:rsidRPr="00F51EBA">
        <w:rPr>
          <w:lang/>
        </w:rPr>
        <w:t xml:space="preserve"> that the holder of a </w:t>
      </w:r>
      <w:hyperlink r:id="rId25" w:tooltip="Financial instrument" w:history="1">
        <w:r w:rsidRPr="00F51EBA">
          <w:rPr>
            <w:rStyle w:val="Hyperlink"/>
            <w:color w:val="auto"/>
            <w:lang/>
          </w:rPr>
          <w:t>financial instrument</w:t>
        </w:r>
      </w:hyperlink>
      <w:r w:rsidRPr="00F51EBA">
        <w:rPr>
          <w:lang/>
        </w:rPr>
        <w:t xml:space="preserve"> has to deposit to cover some or all of the </w:t>
      </w:r>
      <w:hyperlink r:id="rId26" w:tooltip="Credit risk" w:history="1">
        <w:r w:rsidRPr="00F51EBA">
          <w:rPr>
            <w:rStyle w:val="Hyperlink"/>
            <w:color w:val="auto"/>
            <w:lang/>
          </w:rPr>
          <w:t>credit risk</w:t>
        </w:r>
      </w:hyperlink>
      <w:r w:rsidRPr="00F51EBA">
        <w:rPr>
          <w:lang/>
        </w:rPr>
        <w:t xml:space="preserve"> of their </w:t>
      </w:r>
      <w:hyperlink r:id="rId27" w:tooltip="Counterparty" w:history="1">
        <w:r w:rsidRPr="00F51EBA">
          <w:rPr>
            <w:rStyle w:val="Hyperlink"/>
            <w:color w:val="auto"/>
            <w:lang/>
          </w:rPr>
          <w:t>counterparty</w:t>
        </w:r>
      </w:hyperlink>
      <w:r w:rsidRPr="00F51EBA">
        <w:rPr>
          <w:lang/>
        </w:rPr>
        <w:t xml:space="preserve"> (most often their </w:t>
      </w:r>
      <w:hyperlink r:id="rId28" w:tooltip="Broker" w:history="1">
        <w:r w:rsidRPr="00F51EBA">
          <w:rPr>
            <w:rStyle w:val="Hyperlink"/>
            <w:color w:val="auto"/>
            <w:lang/>
          </w:rPr>
          <w:t>broker</w:t>
        </w:r>
      </w:hyperlink>
      <w:r w:rsidRPr="00F51EBA">
        <w:rPr>
          <w:lang/>
        </w:rPr>
        <w:t xml:space="preserve"> or an </w:t>
      </w:r>
      <w:hyperlink r:id="rId29" w:tooltip="Exchange (organized market)" w:history="1">
        <w:r w:rsidRPr="00F51EBA">
          <w:rPr>
            <w:rStyle w:val="Hyperlink"/>
            <w:color w:val="auto"/>
            <w:lang/>
          </w:rPr>
          <w:t>exchange</w:t>
        </w:r>
      </w:hyperlink>
      <w:r w:rsidRPr="00F51EBA">
        <w:rPr>
          <w:lang/>
        </w:rPr>
        <w:t>). This risk can arise if the holder has done any of the following:</w:t>
      </w:r>
    </w:p>
    <w:p w:rsidR="00F51EBA" w:rsidRPr="00F51EBA" w:rsidRDefault="00F51EBA" w:rsidP="00F51EBA">
      <w:pPr>
        <w:numPr>
          <w:ilvl w:val="0"/>
          <w:numId w:val="3"/>
        </w:numPr>
        <w:spacing w:before="100" w:beforeAutospacing="1" w:after="100" w:afterAutospacing="1" w:line="240" w:lineRule="auto"/>
        <w:rPr>
          <w:lang/>
        </w:rPr>
      </w:pPr>
      <w:r w:rsidRPr="00F51EBA">
        <w:rPr>
          <w:lang/>
        </w:rPr>
        <w:t>Borrowed cash from the counterparty to buy financial instruments,</w:t>
      </w:r>
    </w:p>
    <w:p w:rsidR="00F51EBA" w:rsidRPr="00F51EBA" w:rsidRDefault="00F51EBA" w:rsidP="00F51EBA">
      <w:pPr>
        <w:numPr>
          <w:ilvl w:val="0"/>
          <w:numId w:val="3"/>
        </w:numPr>
        <w:spacing w:before="100" w:beforeAutospacing="1" w:after="100" w:afterAutospacing="1" w:line="240" w:lineRule="auto"/>
        <w:rPr>
          <w:lang/>
        </w:rPr>
      </w:pPr>
      <w:r w:rsidRPr="00F51EBA">
        <w:rPr>
          <w:lang/>
        </w:rPr>
        <w:t xml:space="preserve">Sold financial instruments </w:t>
      </w:r>
      <w:hyperlink r:id="rId30" w:tooltip="Short (finance)" w:history="1">
        <w:r w:rsidRPr="00F51EBA">
          <w:rPr>
            <w:rStyle w:val="Hyperlink"/>
            <w:color w:val="auto"/>
            <w:lang/>
          </w:rPr>
          <w:t>short</w:t>
        </w:r>
      </w:hyperlink>
      <w:r w:rsidRPr="00F51EBA">
        <w:rPr>
          <w:lang/>
        </w:rPr>
        <w:t>, or</w:t>
      </w:r>
    </w:p>
    <w:p w:rsidR="00F51EBA" w:rsidRPr="00F51EBA" w:rsidRDefault="00F51EBA" w:rsidP="00F51EBA">
      <w:pPr>
        <w:numPr>
          <w:ilvl w:val="0"/>
          <w:numId w:val="3"/>
        </w:numPr>
        <w:spacing w:before="100" w:beforeAutospacing="1" w:after="100" w:afterAutospacing="1" w:line="240" w:lineRule="auto"/>
        <w:rPr>
          <w:lang/>
        </w:rPr>
      </w:pPr>
      <w:r w:rsidRPr="00F51EBA">
        <w:rPr>
          <w:lang/>
        </w:rPr>
        <w:t xml:space="preserve">Entered into a </w:t>
      </w:r>
      <w:hyperlink r:id="rId31" w:tooltip="Derivative (finance)" w:history="1">
        <w:r w:rsidRPr="00F51EBA">
          <w:rPr>
            <w:rStyle w:val="Hyperlink"/>
            <w:color w:val="auto"/>
            <w:lang/>
          </w:rPr>
          <w:t>derivative</w:t>
        </w:r>
      </w:hyperlink>
      <w:r w:rsidRPr="00F51EBA">
        <w:rPr>
          <w:lang/>
        </w:rPr>
        <w:t xml:space="preserve"> contract.</w:t>
      </w:r>
    </w:p>
    <w:p w:rsidR="00F51EBA" w:rsidRPr="00F51EBA" w:rsidRDefault="00F51EBA" w:rsidP="00F51EBA">
      <w:pPr>
        <w:pStyle w:val="NormalWeb"/>
        <w:rPr>
          <w:lang/>
        </w:rPr>
      </w:pPr>
      <w:r w:rsidRPr="00F51EBA">
        <w:rPr>
          <w:lang/>
        </w:rPr>
        <w:t xml:space="preserve">The collateral can be in the form of cash or securities, and it is deposited in a </w:t>
      </w:r>
      <w:r w:rsidRPr="00F51EBA">
        <w:rPr>
          <w:b/>
          <w:bCs/>
          <w:lang/>
        </w:rPr>
        <w:t>margin account</w:t>
      </w:r>
      <w:r w:rsidRPr="00F51EBA">
        <w:rPr>
          <w:lang/>
        </w:rPr>
        <w:t xml:space="preserve">. On United States </w:t>
      </w:r>
      <w:hyperlink r:id="rId32" w:tooltip="Futures exchange" w:history="1">
        <w:r w:rsidRPr="00F51EBA">
          <w:rPr>
            <w:rStyle w:val="Hyperlink"/>
            <w:color w:val="auto"/>
            <w:lang/>
          </w:rPr>
          <w:t>futures exchanges</w:t>
        </w:r>
      </w:hyperlink>
      <w:r w:rsidRPr="00F51EBA">
        <w:rPr>
          <w:lang/>
        </w:rPr>
        <w:t xml:space="preserve">, margins were formerly called </w:t>
      </w:r>
      <w:hyperlink r:id="rId33" w:tooltip="Performance bond" w:history="1">
        <w:r w:rsidRPr="00F51EBA">
          <w:rPr>
            <w:rStyle w:val="Hyperlink"/>
            <w:color w:val="auto"/>
            <w:lang/>
          </w:rPr>
          <w:t>performance bonds</w:t>
        </w:r>
      </w:hyperlink>
      <w:r w:rsidRPr="00F51EBA">
        <w:rPr>
          <w:lang/>
        </w:rPr>
        <w:t xml:space="preserve">. Most of the exchanges today use </w:t>
      </w:r>
      <w:hyperlink r:id="rId34" w:tooltip="CME SPAN" w:history="1">
        <w:r w:rsidRPr="00F51EBA">
          <w:rPr>
            <w:rStyle w:val="Hyperlink"/>
            <w:color w:val="auto"/>
            <w:lang/>
          </w:rPr>
          <w:t>SPAN</w:t>
        </w:r>
      </w:hyperlink>
      <w:r w:rsidRPr="00F51EBA">
        <w:rPr>
          <w:lang/>
        </w:rPr>
        <w:t xml:space="preserve"> ("Standard Portfolio Analysis of Risk") methodology, which was developed by the </w:t>
      </w:r>
      <w:hyperlink r:id="rId35" w:tooltip="Chicago Mercantile Exchange" w:history="1">
        <w:r w:rsidRPr="00F51EBA">
          <w:rPr>
            <w:rStyle w:val="Hyperlink"/>
            <w:color w:val="auto"/>
            <w:lang/>
          </w:rPr>
          <w:t>Chicago Mercantile Exchange</w:t>
        </w:r>
      </w:hyperlink>
      <w:r w:rsidRPr="00F51EBA">
        <w:rPr>
          <w:lang/>
        </w:rPr>
        <w:t xml:space="preserve"> in 1988, for calculating margins for </w:t>
      </w:r>
      <w:hyperlink r:id="rId36" w:tooltip="Option (finance)" w:history="1">
        <w:r w:rsidRPr="00F51EBA">
          <w:rPr>
            <w:rStyle w:val="Hyperlink"/>
            <w:color w:val="auto"/>
            <w:lang/>
          </w:rPr>
          <w:t>options</w:t>
        </w:r>
      </w:hyperlink>
      <w:r w:rsidRPr="00F51EBA">
        <w:rPr>
          <w:lang/>
        </w:rPr>
        <w:t xml:space="preserve"> and </w:t>
      </w:r>
      <w:hyperlink r:id="rId37" w:tooltip="Futures contract" w:history="1">
        <w:r w:rsidRPr="00F51EBA">
          <w:rPr>
            <w:rStyle w:val="Hyperlink"/>
            <w:color w:val="auto"/>
            <w:lang/>
          </w:rPr>
          <w:t>futures</w:t>
        </w:r>
      </w:hyperlink>
      <w:r w:rsidRPr="00F51EBA">
        <w:rPr>
          <w:lang/>
        </w:rPr>
        <w:t>.</w:t>
      </w:r>
    </w:p>
    <w:p w:rsidR="00954A6D" w:rsidRPr="00954A6D" w:rsidRDefault="00954A6D" w:rsidP="00954A6D">
      <w:pPr>
        <w:spacing w:before="100" w:beforeAutospacing="1" w:after="100" w:afterAutospacing="1" w:line="240" w:lineRule="auto"/>
        <w:outlineLvl w:val="0"/>
        <w:rPr>
          <w:rFonts w:ascii="Verdana" w:eastAsia="Times New Roman" w:hAnsi="Verdana" w:cs="Times New Roman"/>
          <w:b/>
          <w:bCs/>
          <w:kern w:val="36"/>
          <w:sz w:val="24"/>
          <w:szCs w:val="24"/>
          <w:lang/>
        </w:rPr>
      </w:pPr>
      <w:r w:rsidRPr="00954A6D">
        <w:rPr>
          <w:rFonts w:ascii="Verdana" w:eastAsia="Times New Roman" w:hAnsi="Verdana" w:cs="Times New Roman"/>
          <w:b/>
          <w:bCs/>
          <w:kern w:val="36"/>
          <w:sz w:val="24"/>
          <w:szCs w:val="24"/>
          <w:lang/>
        </w:rPr>
        <w:t>Margin Call</w:t>
      </w:r>
    </w:p>
    <w:p w:rsidR="00954A6D" w:rsidRDefault="00954A6D" w:rsidP="00954A6D">
      <w:pPr>
        <w:pStyle w:val="NormalWeb"/>
        <w:rPr>
          <w:lang/>
        </w:rPr>
      </w:pPr>
      <w:r>
        <w:rPr>
          <w:lang/>
        </w:rPr>
        <w:t xml:space="preserve">When the margin posted in the margin account is below the </w:t>
      </w:r>
      <w:r>
        <w:rPr>
          <w:b/>
          <w:bCs/>
          <w:lang/>
        </w:rPr>
        <w:t>minimum margin requirement</w:t>
      </w:r>
      <w:r>
        <w:rPr>
          <w:lang/>
        </w:rPr>
        <w:t xml:space="preserve">, the broker or exchange issues a </w:t>
      </w:r>
      <w:r>
        <w:rPr>
          <w:b/>
          <w:bCs/>
          <w:lang/>
        </w:rPr>
        <w:t>margin call</w:t>
      </w:r>
      <w:r>
        <w:rPr>
          <w:lang/>
        </w:rPr>
        <w:t xml:space="preserve">. The investors now either have to increase the margin that they have deposited or close out their position. They can do this by selling the securities, options or futures if they are long and by buying them back if they are short. But if they do none of these, then the broker can sell their securities to meet the margin call. If a margin call occurs unexpectedly, it can cause </w:t>
      </w:r>
      <w:r w:rsidRPr="00954A6D">
        <w:rPr>
          <w:lang/>
        </w:rPr>
        <w:t xml:space="preserve">a </w:t>
      </w:r>
      <w:hyperlink r:id="rId38" w:tooltip="Domino effect" w:history="1">
        <w:r w:rsidRPr="00954A6D">
          <w:rPr>
            <w:rStyle w:val="Hyperlink"/>
            <w:color w:val="auto"/>
            <w:lang/>
          </w:rPr>
          <w:t>domino effect</w:t>
        </w:r>
      </w:hyperlink>
      <w:r w:rsidRPr="00954A6D">
        <w:rPr>
          <w:lang/>
        </w:rPr>
        <w:t xml:space="preserve"> of</w:t>
      </w:r>
      <w:r>
        <w:rPr>
          <w:lang/>
        </w:rPr>
        <w:t xml:space="preserve"> selling which will lead to other margin calls and so forth, effectively crashing an asset class or group of asset classes.</w:t>
      </w:r>
    </w:p>
    <w:p w:rsidR="00954A6D" w:rsidRDefault="00954A6D" w:rsidP="00954A6D">
      <w:pPr>
        <w:pStyle w:val="NormalWeb"/>
        <w:rPr>
          <w:lang/>
        </w:rPr>
      </w:pPr>
      <w:r>
        <w:rPr>
          <w:lang/>
        </w:rPr>
        <w:t>This situation most frequently happens as a result of an adverse change in the market value of the leveraged asset or contract. It could also happen when the margin requirement is raised, either due to increased volatility or due to legislation. In extreme cases, certain securities may cease to qualify for margin trading; in such a case, the brokerage will require the trader to either fully fund their position, or to liquidate it</w:t>
      </w:r>
    </w:p>
    <w:p w:rsidR="00F51EBA" w:rsidRPr="00F51EBA" w:rsidRDefault="00F51EBA" w:rsidP="00F51EBA">
      <w:pPr>
        <w:spacing w:before="100" w:beforeAutospacing="1" w:after="100" w:afterAutospacing="1" w:line="240" w:lineRule="auto"/>
        <w:rPr>
          <w:rFonts w:ascii="Times New Roman" w:eastAsia="Times New Roman" w:hAnsi="Times New Roman" w:cs="Times New Roman"/>
          <w:sz w:val="24"/>
          <w:szCs w:val="24"/>
          <w:lang/>
        </w:rPr>
      </w:pPr>
      <w:r w:rsidRPr="00F51EBA">
        <w:rPr>
          <w:rFonts w:ascii="Times New Roman" w:eastAsia="Times New Roman" w:hAnsi="Times New Roman" w:cs="Times New Roman"/>
          <w:sz w:val="24"/>
          <w:szCs w:val="24"/>
          <w:lang/>
        </w:rPr>
        <w:t xml:space="preserve">Assume the maintenance margin requirement is 25%. That means the customer has to maintain Net Value equal to 25% of the total stock equity. That means they have to maintain net equity of $50,000 × 0.25 = $12,500. So at what price would the investor be getting a margin call? For stock price </w:t>
      </w:r>
      <w:r w:rsidRPr="00F51EBA">
        <w:rPr>
          <w:rFonts w:ascii="Times New Roman" w:eastAsia="Times New Roman" w:hAnsi="Times New Roman" w:cs="Times New Roman"/>
          <w:i/>
          <w:iCs/>
          <w:sz w:val="24"/>
          <w:szCs w:val="24"/>
          <w:lang/>
        </w:rPr>
        <w:t>P</w:t>
      </w:r>
      <w:r w:rsidRPr="00F51EBA">
        <w:rPr>
          <w:rFonts w:ascii="Times New Roman" w:eastAsia="Times New Roman" w:hAnsi="Times New Roman" w:cs="Times New Roman"/>
          <w:sz w:val="24"/>
          <w:szCs w:val="24"/>
          <w:lang/>
        </w:rPr>
        <w:t xml:space="preserve"> the stock equity will be (in this example) 1,000</w:t>
      </w:r>
      <w:r w:rsidRPr="00F51EBA">
        <w:rPr>
          <w:rFonts w:ascii="Times New Roman" w:eastAsia="Times New Roman" w:hAnsi="Times New Roman" w:cs="Times New Roman"/>
          <w:i/>
          <w:iCs/>
          <w:sz w:val="24"/>
          <w:szCs w:val="24"/>
          <w:lang/>
        </w:rPr>
        <w:t>P</w:t>
      </w:r>
      <w:r w:rsidRPr="00F51EBA">
        <w:rPr>
          <w:rFonts w:ascii="Times New Roman" w:eastAsia="Times New Roman" w:hAnsi="Times New Roman" w:cs="Times New Roman"/>
          <w:sz w:val="24"/>
          <w:szCs w:val="24"/>
          <w:lang/>
        </w:rPr>
        <w:t>.</w:t>
      </w:r>
    </w:p>
    <w:p w:rsidR="00F51EBA" w:rsidRPr="00F51EBA" w:rsidRDefault="00F51EBA" w:rsidP="00F51EBA">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F51EBA">
        <w:rPr>
          <w:rFonts w:ascii="Times New Roman" w:eastAsia="Times New Roman" w:hAnsi="Times New Roman" w:cs="Times New Roman"/>
          <w:sz w:val="24"/>
          <w:szCs w:val="24"/>
          <w:lang/>
        </w:rPr>
        <w:t>(Current Market Value − Amount Borrowed) / Current Market Value = 25%</w:t>
      </w:r>
    </w:p>
    <w:p w:rsidR="00F51EBA" w:rsidRPr="00F51EBA" w:rsidRDefault="00F51EBA" w:rsidP="00F51EBA">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F51EBA">
        <w:rPr>
          <w:rFonts w:ascii="Times New Roman" w:eastAsia="Times New Roman" w:hAnsi="Times New Roman" w:cs="Times New Roman"/>
          <w:sz w:val="24"/>
          <w:szCs w:val="24"/>
          <w:lang/>
        </w:rPr>
        <w:t>(1,000</w:t>
      </w:r>
      <w:r w:rsidRPr="00F51EBA">
        <w:rPr>
          <w:rFonts w:ascii="Times New Roman" w:eastAsia="Times New Roman" w:hAnsi="Times New Roman" w:cs="Times New Roman"/>
          <w:i/>
          <w:iCs/>
          <w:sz w:val="24"/>
          <w:szCs w:val="24"/>
          <w:lang/>
        </w:rPr>
        <w:t>P</w:t>
      </w:r>
      <w:r w:rsidRPr="00F51EBA">
        <w:rPr>
          <w:rFonts w:ascii="Times New Roman" w:eastAsia="Times New Roman" w:hAnsi="Times New Roman" w:cs="Times New Roman"/>
          <w:sz w:val="24"/>
          <w:szCs w:val="24"/>
          <w:lang/>
        </w:rPr>
        <w:t xml:space="preserve"> - 20,000) / 1000</w:t>
      </w:r>
      <w:r w:rsidRPr="00F51EBA">
        <w:rPr>
          <w:rFonts w:ascii="Times New Roman" w:eastAsia="Times New Roman" w:hAnsi="Times New Roman" w:cs="Times New Roman"/>
          <w:i/>
          <w:iCs/>
          <w:sz w:val="24"/>
          <w:szCs w:val="24"/>
          <w:lang/>
        </w:rPr>
        <w:t>P</w:t>
      </w:r>
      <w:r w:rsidRPr="00F51EBA">
        <w:rPr>
          <w:rFonts w:ascii="Times New Roman" w:eastAsia="Times New Roman" w:hAnsi="Times New Roman" w:cs="Times New Roman"/>
          <w:sz w:val="24"/>
          <w:szCs w:val="24"/>
          <w:lang/>
        </w:rPr>
        <w:t xml:space="preserve"> = 0.25</w:t>
      </w:r>
    </w:p>
    <w:p w:rsidR="00F51EBA" w:rsidRPr="00F51EBA" w:rsidRDefault="00F51EBA" w:rsidP="00F51EBA">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F51EBA">
        <w:rPr>
          <w:rFonts w:ascii="Times New Roman" w:eastAsia="Times New Roman" w:hAnsi="Times New Roman" w:cs="Times New Roman"/>
          <w:sz w:val="24"/>
          <w:szCs w:val="24"/>
          <w:lang/>
        </w:rPr>
        <w:t>(1,000</w:t>
      </w:r>
      <w:r w:rsidRPr="00F51EBA">
        <w:rPr>
          <w:rFonts w:ascii="Times New Roman" w:eastAsia="Times New Roman" w:hAnsi="Times New Roman" w:cs="Times New Roman"/>
          <w:i/>
          <w:iCs/>
          <w:sz w:val="24"/>
          <w:szCs w:val="24"/>
          <w:lang/>
        </w:rPr>
        <w:t>P</w:t>
      </w:r>
      <w:r w:rsidRPr="00F51EBA">
        <w:rPr>
          <w:rFonts w:ascii="Times New Roman" w:eastAsia="Times New Roman" w:hAnsi="Times New Roman" w:cs="Times New Roman"/>
          <w:sz w:val="24"/>
          <w:szCs w:val="24"/>
          <w:lang/>
        </w:rPr>
        <w:t xml:space="preserve"> - 20,000) = 250</w:t>
      </w:r>
      <w:r w:rsidRPr="00F51EBA">
        <w:rPr>
          <w:rFonts w:ascii="Times New Roman" w:eastAsia="Times New Roman" w:hAnsi="Times New Roman" w:cs="Times New Roman"/>
          <w:i/>
          <w:iCs/>
          <w:sz w:val="24"/>
          <w:szCs w:val="24"/>
          <w:lang/>
        </w:rPr>
        <w:t>P</w:t>
      </w:r>
    </w:p>
    <w:p w:rsidR="00F51EBA" w:rsidRPr="00F51EBA" w:rsidRDefault="00F51EBA" w:rsidP="00F51EBA">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F51EBA">
        <w:rPr>
          <w:rFonts w:ascii="Times New Roman" w:eastAsia="Times New Roman" w:hAnsi="Times New Roman" w:cs="Times New Roman"/>
          <w:sz w:val="24"/>
          <w:szCs w:val="24"/>
          <w:lang/>
        </w:rPr>
        <w:t>750</w:t>
      </w:r>
      <w:r w:rsidRPr="00F51EBA">
        <w:rPr>
          <w:rFonts w:ascii="Times New Roman" w:eastAsia="Times New Roman" w:hAnsi="Times New Roman" w:cs="Times New Roman"/>
          <w:i/>
          <w:iCs/>
          <w:sz w:val="24"/>
          <w:szCs w:val="24"/>
          <w:lang/>
        </w:rPr>
        <w:t>P</w:t>
      </w:r>
      <w:r w:rsidRPr="00F51EBA">
        <w:rPr>
          <w:rFonts w:ascii="Times New Roman" w:eastAsia="Times New Roman" w:hAnsi="Times New Roman" w:cs="Times New Roman"/>
          <w:sz w:val="24"/>
          <w:szCs w:val="24"/>
          <w:lang/>
        </w:rPr>
        <w:t xml:space="preserve"> = $20,000</w:t>
      </w:r>
    </w:p>
    <w:p w:rsidR="00F51EBA" w:rsidRPr="00F51EBA" w:rsidRDefault="00F51EBA" w:rsidP="00F51EBA">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F51EBA">
        <w:rPr>
          <w:rFonts w:ascii="Times New Roman" w:eastAsia="Times New Roman" w:hAnsi="Times New Roman" w:cs="Times New Roman"/>
          <w:i/>
          <w:iCs/>
          <w:sz w:val="24"/>
          <w:szCs w:val="24"/>
          <w:lang/>
        </w:rPr>
        <w:t>P</w:t>
      </w:r>
      <w:r w:rsidRPr="00F51EBA">
        <w:rPr>
          <w:rFonts w:ascii="Times New Roman" w:eastAsia="Times New Roman" w:hAnsi="Times New Roman" w:cs="Times New Roman"/>
          <w:sz w:val="24"/>
          <w:szCs w:val="24"/>
          <w:lang/>
        </w:rPr>
        <w:t xml:space="preserve"> = $20,000/750 = $26.66 / share</w:t>
      </w:r>
    </w:p>
    <w:p w:rsidR="00F51EBA" w:rsidRPr="00F51EBA" w:rsidRDefault="00F51EBA" w:rsidP="00F51EBA">
      <w:pPr>
        <w:spacing w:before="100" w:beforeAutospacing="1" w:after="100" w:afterAutospacing="1" w:line="240" w:lineRule="auto"/>
        <w:rPr>
          <w:rFonts w:ascii="Times New Roman" w:eastAsia="Times New Roman" w:hAnsi="Times New Roman" w:cs="Times New Roman"/>
          <w:sz w:val="24"/>
          <w:szCs w:val="24"/>
          <w:lang/>
        </w:rPr>
      </w:pPr>
      <w:r w:rsidRPr="00F51EBA">
        <w:rPr>
          <w:rFonts w:ascii="Times New Roman" w:eastAsia="Times New Roman" w:hAnsi="Times New Roman" w:cs="Times New Roman"/>
          <w:sz w:val="24"/>
          <w:szCs w:val="24"/>
          <w:lang/>
        </w:rPr>
        <w:lastRenderedPageBreak/>
        <w:t>So if the stock price drops from $50 to $26.66, investors will be called to add additional funds to the account to make up for the loss in stock equity.</w:t>
      </w:r>
    </w:p>
    <w:p w:rsidR="00F51EBA" w:rsidRPr="00F51EBA" w:rsidRDefault="00F51EBA" w:rsidP="00F51EBA">
      <w:pPr>
        <w:spacing w:before="100" w:beforeAutospacing="1" w:after="100" w:afterAutospacing="1" w:line="240" w:lineRule="auto"/>
        <w:rPr>
          <w:rFonts w:ascii="Times New Roman" w:eastAsia="Times New Roman" w:hAnsi="Times New Roman" w:cs="Times New Roman"/>
          <w:sz w:val="24"/>
          <w:szCs w:val="24"/>
          <w:lang/>
        </w:rPr>
      </w:pPr>
      <w:r w:rsidRPr="00F51EBA">
        <w:rPr>
          <w:rFonts w:ascii="Times New Roman" w:eastAsia="Times New Roman" w:hAnsi="Times New Roman" w:cs="Times New Roman"/>
          <w:sz w:val="24"/>
          <w:szCs w:val="24"/>
          <w:lang/>
        </w:rPr>
        <w:t xml:space="preserve">Alternatively, one can calculate </w:t>
      </w:r>
      <w:r w:rsidRPr="00F51EBA">
        <w:rPr>
          <w:rFonts w:ascii="Times New Roman" w:eastAsia="Times New Roman" w:hAnsi="Times New Roman" w:cs="Times New Roman"/>
          <w:i/>
          <w:iCs/>
          <w:sz w:val="24"/>
          <w:szCs w:val="24"/>
          <w:lang/>
        </w:rPr>
        <w:t>P</w:t>
      </w:r>
      <w:r w:rsidRPr="00F51EBA">
        <w:rPr>
          <w:rFonts w:ascii="Times New Roman" w:eastAsia="Times New Roman" w:hAnsi="Times New Roman" w:cs="Times New Roman"/>
          <w:sz w:val="24"/>
          <w:szCs w:val="24"/>
          <w:lang/>
        </w:rPr>
        <w:t xml:space="preserve"> using </w:t>
      </w:r>
      <w:r>
        <w:rPr>
          <w:rFonts w:ascii="Times New Roman" w:eastAsia="Times New Roman" w:hAnsi="Times New Roman" w:cs="Times New Roman"/>
          <w:noProof/>
          <w:sz w:val="24"/>
          <w:szCs w:val="24"/>
        </w:rPr>
        <w:drawing>
          <wp:inline distT="0" distB="0" distL="0" distR="0">
            <wp:extent cx="2834640" cy="300355"/>
            <wp:effectExtent l="19050" t="0" r="3810" b="0"/>
            <wp:docPr id="527" name="Picture 527" descr="\textstyle P=P_0\frac{(1-\text{initial margin requirement})}{(1-\text{maintenance margin requi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textstyle P=P_0\frac{(1-\text{initial margin requirement})}{(1-\text{maintenance margin requirement})}"/>
                    <pic:cNvPicPr>
                      <a:picLocks noChangeAspect="1" noChangeArrowheads="1"/>
                    </pic:cNvPicPr>
                  </pic:nvPicPr>
                  <pic:blipFill>
                    <a:blip r:embed="rId39" cstate="print"/>
                    <a:srcRect/>
                    <a:stretch>
                      <a:fillRect/>
                    </a:stretch>
                  </pic:blipFill>
                  <pic:spPr bwMode="auto">
                    <a:xfrm>
                      <a:off x="0" y="0"/>
                      <a:ext cx="2834640" cy="300355"/>
                    </a:xfrm>
                    <a:prstGeom prst="rect">
                      <a:avLst/>
                    </a:prstGeom>
                    <a:noFill/>
                    <a:ln w="9525">
                      <a:noFill/>
                      <a:miter lim="800000"/>
                      <a:headEnd/>
                      <a:tailEnd/>
                    </a:ln>
                  </pic:spPr>
                </pic:pic>
              </a:graphicData>
            </a:graphic>
          </wp:inline>
        </w:drawing>
      </w:r>
      <w:r w:rsidRPr="00F51EBA">
        <w:rPr>
          <w:rFonts w:ascii="Times New Roman" w:eastAsia="Times New Roman" w:hAnsi="Times New Roman" w:cs="Times New Roman"/>
          <w:sz w:val="24"/>
          <w:szCs w:val="24"/>
          <w:lang/>
        </w:rPr>
        <w:t xml:space="preserve">where </w:t>
      </w:r>
      <w:r w:rsidRPr="00F51EBA">
        <w:rPr>
          <w:rFonts w:ascii="Times New Roman" w:eastAsia="Times New Roman" w:hAnsi="Times New Roman" w:cs="Times New Roman"/>
          <w:i/>
          <w:iCs/>
          <w:sz w:val="24"/>
          <w:szCs w:val="24"/>
          <w:lang/>
        </w:rPr>
        <w:t>P</w:t>
      </w:r>
      <w:r w:rsidRPr="00F51EBA">
        <w:rPr>
          <w:rFonts w:ascii="Times New Roman" w:eastAsia="Times New Roman" w:hAnsi="Times New Roman" w:cs="Times New Roman"/>
          <w:i/>
          <w:iCs/>
          <w:sz w:val="24"/>
          <w:szCs w:val="24"/>
          <w:vertAlign w:val="subscript"/>
          <w:lang/>
        </w:rPr>
        <w:t>0</w:t>
      </w:r>
      <w:r w:rsidRPr="00F51EBA">
        <w:rPr>
          <w:rFonts w:ascii="Times New Roman" w:eastAsia="Times New Roman" w:hAnsi="Times New Roman" w:cs="Times New Roman"/>
          <w:sz w:val="24"/>
          <w:szCs w:val="24"/>
          <w:lang/>
        </w:rPr>
        <w:t xml:space="preserve"> is the initial price of the stock. Let's use the same example to demonstrate this:</w:t>
      </w:r>
    </w:p>
    <w:p w:rsidR="00F51EBA" w:rsidRPr="00F51EBA" w:rsidRDefault="00F51EBA" w:rsidP="00F51EBA">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inline distT="0" distB="0" distL="0" distR="0">
            <wp:extent cx="2325370" cy="457200"/>
            <wp:effectExtent l="19050" t="0" r="0" b="0"/>
            <wp:docPr id="528" name="Picture 528" descr=" P=$50\frac{(1-0.6)}{(1-0.25)} = $2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 P=$50\frac{(1-0.6)}{(1-0.25)} = $26.66."/>
                    <pic:cNvPicPr>
                      <a:picLocks noChangeAspect="1" noChangeArrowheads="1"/>
                    </pic:cNvPicPr>
                  </pic:nvPicPr>
                  <pic:blipFill>
                    <a:blip r:embed="rId40" cstate="print"/>
                    <a:srcRect/>
                    <a:stretch>
                      <a:fillRect/>
                    </a:stretch>
                  </pic:blipFill>
                  <pic:spPr bwMode="auto">
                    <a:xfrm>
                      <a:off x="0" y="0"/>
                      <a:ext cx="2325370" cy="457200"/>
                    </a:xfrm>
                    <a:prstGeom prst="rect">
                      <a:avLst/>
                    </a:prstGeom>
                    <a:noFill/>
                    <a:ln w="9525">
                      <a:noFill/>
                      <a:miter lim="800000"/>
                      <a:headEnd/>
                      <a:tailEnd/>
                    </a:ln>
                  </pic:spPr>
                </pic:pic>
              </a:graphicData>
            </a:graphic>
          </wp:inline>
        </w:drawing>
      </w:r>
    </w:p>
    <w:p w:rsidR="00954A6D" w:rsidRDefault="00F51EBA" w:rsidP="00954A6D">
      <w:pPr>
        <w:spacing w:before="100" w:beforeAutospacing="1" w:after="100" w:afterAutospacing="1" w:line="240" w:lineRule="auto"/>
        <w:outlineLvl w:val="0"/>
        <w:rPr>
          <w:rFonts w:ascii="Verdana" w:eastAsia="Times New Roman" w:hAnsi="Verdana" w:cs="Times New Roman"/>
          <w:b/>
          <w:bCs/>
          <w:kern w:val="36"/>
          <w:sz w:val="24"/>
          <w:szCs w:val="24"/>
          <w:lang/>
        </w:rPr>
      </w:pPr>
      <w:r w:rsidRPr="00F51EBA">
        <w:rPr>
          <w:rFonts w:ascii="Verdana" w:eastAsia="Times New Roman" w:hAnsi="Verdana" w:cs="Times New Roman"/>
          <w:b/>
          <w:bCs/>
          <w:kern w:val="36"/>
          <w:sz w:val="24"/>
          <w:szCs w:val="24"/>
          <w:lang/>
        </w:rPr>
        <w:t>Mark-to-Market</w:t>
      </w:r>
    </w:p>
    <w:p w:rsidR="00F51EBA" w:rsidRPr="00F51EBA" w:rsidRDefault="00F51EBA" w:rsidP="00954A6D">
      <w:pPr>
        <w:spacing w:before="100" w:beforeAutospacing="1" w:after="100" w:afterAutospacing="1" w:line="240" w:lineRule="auto"/>
        <w:outlineLvl w:val="0"/>
        <w:rPr>
          <w:rFonts w:ascii="Verdana" w:eastAsia="Times New Roman" w:hAnsi="Verdana" w:cs="Times New Roman"/>
          <w:b/>
          <w:bCs/>
          <w:kern w:val="36"/>
          <w:sz w:val="24"/>
          <w:szCs w:val="24"/>
          <w:lang/>
        </w:rPr>
      </w:pPr>
      <w:hyperlink r:id="rId41" w:tooltip="List of FASB Pronouncements" w:history="1">
        <w:r w:rsidRPr="00F51EBA">
          <w:rPr>
            <w:rStyle w:val="Hyperlink"/>
            <w:color w:val="auto"/>
            <w:lang/>
          </w:rPr>
          <w:t>Statements of Financial Accounting Standards</w:t>
        </w:r>
      </w:hyperlink>
      <w:r w:rsidRPr="00F51EBA">
        <w:rPr>
          <w:lang/>
        </w:rPr>
        <w:t xml:space="preserve"> No. 157</w:t>
      </w:r>
    </w:p>
    <w:p w:rsidR="00F51EBA" w:rsidRPr="00F51EBA" w:rsidRDefault="00F51EBA" w:rsidP="00F51EBA">
      <w:pPr>
        <w:pStyle w:val="NormalWeb"/>
        <w:rPr>
          <w:lang/>
        </w:rPr>
      </w:pPr>
      <w:r w:rsidRPr="00F51EBA">
        <w:rPr>
          <w:b/>
          <w:bCs/>
          <w:lang/>
        </w:rPr>
        <w:t>Mark-to-market</w:t>
      </w:r>
      <w:r w:rsidRPr="00F51EBA">
        <w:rPr>
          <w:lang/>
        </w:rPr>
        <w:t xml:space="preserve"> or </w:t>
      </w:r>
      <w:r w:rsidRPr="00F51EBA">
        <w:rPr>
          <w:b/>
          <w:bCs/>
          <w:lang/>
        </w:rPr>
        <w:t>fair value accounting</w:t>
      </w:r>
      <w:r w:rsidRPr="00F51EBA">
        <w:rPr>
          <w:lang/>
        </w:rPr>
        <w:t xml:space="preserve"> refers to accounting for the "</w:t>
      </w:r>
      <w:hyperlink r:id="rId42" w:tooltip="Fair value" w:history="1">
        <w:r w:rsidRPr="00F51EBA">
          <w:rPr>
            <w:rStyle w:val="Hyperlink"/>
            <w:color w:val="auto"/>
            <w:lang/>
          </w:rPr>
          <w:t>fair value</w:t>
        </w:r>
      </w:hyperlink>
      <w:r w:rsidRPr="00F51EBA">
        <w:rPr>
          <w:lang/>
        </w:rPr>
        <w:t xml:space="preserve">" of an asset or liability based on the current </w:t>
      </w:r>
      <w:hyperlink r:id="rId43" w:tooltip="Market price" w:history="1">
        <w:r w:rsidRPr="00F51EBA">
          <w:rPr>
            <w:rStyle w:val="Hyperlink"/>
            <w:color w:val="auto"/>
            <w:lang/>
          </w:rPr>
          <w:t>market price</w:t>
        </w:r>
      </w:hyperlink>
      <w:r w:rsidRPr="00F51EBA">
        <w:rPr>
          <w:lang/>
        </w:rPr>
        <w:t>, or for similar assets and liabilities, or based on another objectively assessed "fair" value.</w:t>
      </w:r>
      <w:r w:rsidRPr="00F51EBA">
        <w:rPr>
          <w:vertAlign w:val="superscript"/>
          <w:lang/>
        </w:rPr>
        <w:t>[</w:t>
      </w:r>
      <w:hyperlink r:id="rId44" w:tooltip="Wikipedia:Citation needed" w:history="1">
        <w:r w:rsidRPr="00F51EBA">
          <w:rPr>
            <w:rStyle w:val="Hyperlink"/>
            <w:i/>
            <w:iCs/>
            <w:color w:val="auto"/>
            <w:vertAlign w:val="superscript"/>
            <w:lang/>
          </w:rPr>
          <w:t>citation needed</w:t>
        </w:r>
      </w:hyperlink>
      <w:r w:rsidRPr="00F51EBA">
        <w:rPr>
          <w:vertAlign w:val="superscript"/>
          <w:lang/>
        </w:rPr>
        <w:t>]</w:t>
      </w:r>
      <w:r w:rsidRPr="00F51EBA">
        <w:rPr>
          <w:lang/>
        </w:rPr>
        <w:t xml:space="preserve"> Fair value accounting has been a part of </w:t>
      </w:r>
      <w:hyperlink r:id="rId45" w:tooltip="Generally Accepted Accounting Principles (United States)" w:history="1">
        <w:r w:rsidRPr="00F51EBA">
          <w:rPr>
            <w:rStyle w:val="Hyperlink"/>
            <w:color w:val="auto"/>
            <w:lang/>
          </w:rPr>
          <w:t>Generally Accepted Accounting Principles</w:t>
        </w:r>
      </w:hyperlink>
      <w:r w:rsidRPr="00F51EBA">
        <w:rPr>
          <w:lang/>
        </w:rPr>
        <w:t xml:space="preserve"> (GAAP) in the United States since the early 1990s, and is now regarded as the "gold standard" in some circles. </w:t>
      </w:r>
    </w:p>
    <w:p w:rsidR="00F51EBA" w:rsidRPr="00F51EBA" w:rsidRDefault="00F51EBA" w:rsidP="00F51EBA">
      <w:pPr>
        <w:pStyle w:val="NormalWeb"/>
        <w:rPr>
          <w:lang/>
        </w:rPr>
      </w:pPr>
      <w:r w:rsidRPr="00F51EBA">
        <w:rPr>
          <w:lang/>
        </w:rPr>
        <w:t xml:space="preserve">Mark-to-market accounting can change values on the balance sheet as market conditions change. In contrast, </w:t>
      </w:r>
      <w:hyperlink r:id="rId46" w:tooltip="Historical cost" w:history="1">
        <w:r w:rsidRPr="00F51EBA">
          <w:rPr>
            <w:rStyle w:val="Hyperlink"/>
            <w:color w:val="auto"/>
            <w:lang/>
          </w:rPr>
          <w:t>historical cost</w:t>
        </w:r>
      </w:hyperlink>
      <w:r w:rsidRPr="00F51EBA">
        <w:rPr>
          <w:lang/>
        </w:rPr>
        <w:t xml:space="preserve"> accounting, based on the past transactions, is simpler, more stable, and easier to perform, but does not represent current market value. It summarizes past transactions instead. Mark-to-market accounting can become volatile if market prices fluctuate greatly or change unpredictably. Buyers and sellers may claim a number of specific instances when this is the case, including inability to value the future income and expenses both accurately and collectively, often due to unreliable information, or over-optimistic or over-pessimistic expectations.</w:t>
      </w:r>
      <w:r w:rsidRPr="00F51EBA">
        <w:rPr>
          <w:vertAlign w:val="superscript"/>
          <w:lang/>
        </w:rPr>
        <w:t>[</w:t>
      </w:r>
    </w:p>
    <w:p w:rsidR="00F51EBA" w:rsidRPr="00954A6D" w:rsidRDefault="00F51EBA" w:rsidP="00954A6D">
      <w:pPr>
        <w:spacing w:before="100" w:beforeAutospacing="1" w:after="100" w:afterAutospacing="1" w:line="240" w:lineRule="auto"/>
        <w:outlineLvl w:val="0"/>
        <w:rPr>
          <w:rFonts w:ascii="Verdana" w:eastAsia="Times New Roman" w:hAnsi="Verdana" w:cs="Times New Roman"/>
          <w:b/>
          <w:bCs/>
          <w:color w:val="3B4FAE"/>
          <w:kern w:val="36"/>
          <w:sz w:val="24"/>
          <w:szCs w:val="24"/>
          <w:lang/>
        </w:rPr>
      </w:pPr>
    </w:p>
    <w:p w:rsidR="00954A6D" w:rsidRPr="00F51EBA" w:rsidRDefault="00F51EBA" w:rsidP="00954A6D">
      <w:pPr>
        <w:spacing w:before="100" w:beforeAutospacing="1" w:after="100" w:afterAutospacing="1" w:line="240" w:lineRule="auto"/>
        <w:outlineLvl w:val="0"/>
        <w:rPr>
          <w:rFonts w:ascii="Verdana" w:eastAsia="Times New Roman" w:hAnsi="Verdana" w:cs="Times New Roman"/>
          <w:b/>
          <w:bCs/>
          <w:kern w:val="36"/>
          <w:sz w:val="24"/>
          <w:szCs w:val="24"/>
        </w:rPr>
      </w:pPr>
      <w:r w:rsidRPr="00F51EBA">
        <w:rPr>
          <w:rFonts w:ascii="Verdana" w:eastAsia="Times New Roman" w:hAnsi="Verdana" w:cs="Times New Roman"/>
          <w:b/>
          <w:bCs/>
          <w:kern w:val="36"/>
          <w:sz w:val="24"/>
          <w:szCs w:val="24"/>
        </w:rPr>
        <w:t>Clearing</w:t>
      </w:r>
    </w:p>
    <w:p w:rsidR="00F51EBA" w:rsidRPr="00F51EBA" w:rsidRDefault="00F51EBA" w:rsidP="00F51EBA">
      <w:pPr>
        <w:pStyle w:val="NormalWeb"/>
        <w:rPr>
          <w:lang/>
        </w:rPr>
      </w:pPr>
      <w:r w:rsidRPr="00F51EBA">
        <w:rPr>
          <w:lang/>
        </w:rPr>
        <w:t xml:space="preserve">In </w:t>
      </w:r>
      <w:hyperlink r:id="rId47" w:tooltip="Banking" w:history="1">
        <w:r w:rsidRPr="00F51EBA">
          <w:rPr>
            <w:rStyle w:val="Hyperlink"/>
            <w:color w:val="auto"/>
            <w:u w:val="none"/>
            <w:lang/>
          </w:rPr>
          <w:t>banking</w:t>
        </w:r>
      </w:hyperlink>
      <w:r w:rsidRPr="00F51EBA">
        <w:rPr>
          <w:lang/>
        </w:rPr>
        <w:t xml:space="preserve"> and </w:t>
      </w:r>
      <w:hyperlink r:id="rId48" w:tooltip="Finance" w:history="1">
        <w:r w:rsidRPr="00F51EBA">
          <w:rPr>
            <w:rStyle w:val="Hyperlink"/>
            <w:color w:val="auto"/>
            <w:u w:val="none"/>
            <w:lang/>
          </w:rPr>
          <w:t>finance</w:t>
        </w:r>
      </w:hyperlink>
      <w:r w:rsidRPr="00F51EBA">
        <w:rPr>
          <w:lang/>
        </w:rPr>
        <w:t xml:space="preserve">, </w:t>
      </w:r>
      <w:r w:rsidRPr="00F51EBA">
        <w:rPr>
          <w:b/>
          <w:bCs/>
          <w:lang/>
        </w:rPr>
        <w:t>clearing</w:t>
      </w:r>
      <w:r w:rsidRPr="00F51EBA">
        <w:rPr>
          <w:lang/>
        </w:rPr>
        <w:t xml:space="preserve"> denotes all activities from the time a commitment is made for a </w:t>
      </w:r>
      <w:hyperlink r:id="rId49" w:tooltip="Financial transaction" w:history="1">
        <w:r w:rsidRPr="00F51EBA">
          <w:rPr>
            <w:rStyle w:val="Hyperlink"/>
            <w:color w:val="auto"/>
            <w:u w:val="none"/>
            <w:lang/>
          </w:rPr>
          <w:t>transaction</w:t>
        </w:r>
      </w:hyperlink>
      <w:r w:rsidRPr="00F51EBA">
        <w:rPr>
          <w:lang/>
        </w:rPr>
        <w:t xml:space="preserve"> until it is </w:t>
      </w:r>
      <w:hyperlink r:id="rId50" w:tooltip="Settlement (finance)" w:history="1">
        <w:r w:rsidRPr="00F51EBA">
          <w:rPr>
            <w:rStyle w:val="Hyperlink"/>
            <w:color w:val="auto"/>
            <w:u w:val="none"/>
            <w:lang/>
          </w:rPr>
          <w:t>settled</w:t>
        </w:r>
      </w:hyperlink>
      <w:r w:rsidRPr="00F51EBA">
        <w:rPr>
          <w:lang/>
        </w:rPr>
        <w:t xml:space="preserve">. Clearing of payments is necessary to turn the promise of payment (for example, in the form of a </w:t>
      </w:r>
      <w:hyperlink r:id="rId51" w:tooltip="Cheque" w:history="1">
        <w:proofErr w:type="spellStart"/>
        <w:r w:rsidRPr="00F51EBA">
          <w:rPr>
            <w:rStyle w:val="Hyperlink"/>
            <w:color w:val="auto"/>
            <w:u w:val="none"/>
            <w:lang/>
          </w:rPr>
          <w:t>cheque</w:t>
        </w:r>
        <w:proofErr w:type="spellEnd"/>
      </w:hyperlink>
      <w:r w:rsidRPr="00F51EBA">
        <w:rPr>
          <w:lang/>
        </w:rPr>
        <w:t xml:space="preserve"> or electronic payment request) into actual movement of money from one bank to another.</w:t>
      </w:r>
    </w:p>
    <w:p w:rsidR="00F51EBA" w:rsidRPr="00F51EBA" w:rsidRDefault="00F51EBA" w:rsidP="00F51EBA">
      <w:pPr>
        <w:pStyle w:val="NormalWeb"/>
        <w:rPr>
          <w:lang/>
        </w:rPr>
      </w:pPr>
      <w:r w:rsidRPr="00F51EBA">
        <w:rPr>
          <w:lang/>
        </w:rPr>
        <w:t xml:space="preserve">In trading, clearing is necessary because the speed of trades is much faster than the cycle time for completing the underlying transaction. It involves the management of post-trading, pre-settlement credit exposures to ensure that trades are settled in accordance with market rules, even if a buyer or seller should become insolvent prior to settlement. Processes included in clearing are </w:t>
      </w:r>
      <w:hyperlink r:id="rId52" w:tooltip="Financial reporting" w:history="1">
        <w:r w:rsidRPr="00F51EBA">
          <w:rPr>
            <w:rStyle w:val="Hyperlink"/>
            <w:color w:val="auto"/>
            <w:u w:val="none"/>
            <w:lang/>
          </w:rPr>
          <w:t>reporting</w:t>
        </w:r>
      </w:hyperlink>
      <w:r w:rsidRPr="00F51EBA">
        <w:rPr>
          <w:lang/>
        </w:rPr>
        <w:t xml:space="preserve">/monitoring, </w:t>
      </w:r>
      <w:hyperlink r:id="rId53" w:tooltip="Margin (finance)" w:history="1">
        <w:r w:rsidRPr="00F51EBA">
          <w:rPr>
            <w:rStyle w:val="Hyperlink"/>
            <w:color w:val="auto"/>
            <w:u w:val="none"/>
            <w:lang/>
          </w:rPr>
          <w:t>risk margining</w:t>
        </w:r>
      </w:hyperlink>
      <w:r w:rsidRPr="00F51EBA">
        <w:rPr>
          <w:lang/>
        </w:rPr>
        <w:t xml:space="preserve">, </w:t>
      </w:r>
      <w:hyperlink r:id="rId54" w:tooltip="Netting" w:history="1">
        <w:r w:rsidRPr="00F51EBA">
          <w:rPr>
            <w:rStyle w:val="Hyperlink"/>
            <w:color w:val="auto"/>
            <w:u w:val="none"/>
            <w:lang/>
          </w:rPr>
          <w:t>netting</w:t>
        </w:r>
      </w:hyperlink>
      <w:r w:rsidRPr="00F51EBA">
        <w:rPr>
          <w:lang/>
        </w:rPr>
        <w:t xml:space="preserve"> of trades to single positions, </w:t>
      </w:r>
      <w:hyperlink r:id="rId55" w:tooltip="Tax" w:history="1">
        <w:r w:rsidRPr="00F51EBA">
          <w:rPr>
            <w:rStyle w:val="Hyperlink"/>
            <w:color w:val="auto"/>
            <w:u w:val="none"/>
            <w:lang/>
          </w:rPr>
          <w:t>tax</w:t>
        </w:r>
      </w:hyperlink>
      <w:r w:rsidRPr="00F51EBA">
        <w:rPr>
          <w:lang/>
        </w:rPr>
        <w:t xml:space="preserve"> handling, and failure handling.</w:t>
      </w:r>
    </w:p>
    <w:p w:rsidR="00F51EBA" w:rsidRPr="00F51EBA" w:rsidRDefault="00F51EBA" w:rsidP="00F51EBA">
      <w:pPr>
        <w:pStyle w:val="NormalWeb"/>
        <w:rPr>
          <w:lang/>
        </w:rPr>
      </w:pPr>
      <w:hyperlink r:id="rId56" w:tooltip="Systemically Important Payment Systems" w:history="1">
        <w:r w:rsidRPr="00F51EBA">
          <w:rPr>
            <w:rStyle w:val="Hyperlink"/>
            <w:color w:val="auto"/>
            <w:u w:val="none"/>
            <w:lang/>
          </w:rPr>
          <w:t>Systemically Important Payment Systems</w:t>
        </w:r>
      </w:hyperlink>
      <w:r w:rsidRPr="00F51EBA">
        <w:rPr>
          <w:lang/>
        </w:rPr>
        <w:t xml:space="preserve"> (SIPS) are payment systems which have the characteristic that a failure of these systems could potentially endanger the </w:t>
      </w:r>
      <w:r w:rsidRPr="00F51EBA">
        <w:rPr>
          <w:lang/>
        </w:rPr>
        <w:lastRenderedPageBreak/>
        <w:t xml:space="preserve">operation of the whole economy. In general, these are the major payment clearing or </w:t>
      </w:r>
      <w:hyperlink r:id="rId57" w:tooltip="Real Time Gross Settlement" w:history="1">
        <w:r w:rsidRPr="00F51EBA">
          <w:rPr>
            <w:rStyle w:val="Hyperlink"/>
            <w:color w:val="auto"/>
            <w:u w:val="none"/>
            <w:lang/>
          </w:rPr>
          <w:t>Real Time Gross Settlement</w:t>
        </w:r>
      </w:hyperlink>
      <w:r w:rsidRPr="00F51EBA">
        <w:rPr>
          <w:lang/>
        </w:rPr>
        <w:t xml:space="preserve"> systems of individual countries, but in the case of Europe, there are certain pan-European payment systems. </w:t>
      </w:r>
      <w:hyperlink r:id="rId58" w:tooltip="TARGET2" w:history="1">
        <w:r w:rsidRPr="00F51EBA">
          <w:rPr>
            <w:rStyle w:val="Hyperlink"/>
            <w:color w:val="auto"/>
            <w:u w:val="none"/>
            <w:lang/>
          </w:rPr>
          <w:t>TARGET2</w:t>
        </w:r>
      </w:hyperlink>
      <w:r w:rsidRPr="00F51EBA">
        <w:rPr>
          <w:lang/>
        </w:rPr>
        <w:t xml:space="preserve"> is a pan-European SIPS dealing with major inter-bank payments. </w:t>
      </w:r>
      <w:hyperlink r:id="rId59" w:anchor="STEP2" w:tooltip="Euro Banking Association" w:history="1">
        <w:r w:rsidRPr="00F51EBA">
          <w:rPr>
            <w:rStyle w:val="Hyperlink"/>
            <w:color w:val="auto"/>
            <w:u w:val="none"/>
            <w:lang/>
          </w:rPr>
          <w:t>STEP2</w:t>
        </w:r>
      </w:hyperlink>
      <w:r w:rsidRPr="00F51EBA">
        <w:rPr>
          <w:lang/>
        </w:rPr>
        <w:t xml:space="preserve">, operated by the </w:t>
      </w:r>
      <w:hyperlink r:id="rId60" w:tooltip="Euro Banking Association" w:history="1">
        <w:r w:rsidRPr="00F51EBA">
          <w:rPr>
            <w:rStyle w:val="Hyperlink"/>
            <w:color w:val="auto"/>
            <w:u w:val="none"/>
            <w:lang/>
          </w:rPr>
          <w:t>Euro Banking Association</w:t>
        </w:r>
      </w:hyperlink>
      <w:r w:rsidRPr="00F51EBA">
        <w:rPr>
          <w:lang/>
        </w:rPr>
        <w:t xml:space="preserve"> is a major pan-European clearing system for retail payments which has the potential to become </w:t>
      </w:r>
      <w:proofErr w:type="gramStart"/>
      <w:r w:rsidRPr="00F51EBA">
        <w:rPr>
          <w:lang/>
        </w:rPr>
        <w:t>a SIPS</w:t>
      </w:r>
      <w:proofErr w:type="gramEnd"/>
      <w:r w:rsidRPr="00F51EBA">
        <w:rPr>
          <w:lang/>
        </w:rPr>
        <w:t xml:space="preserve">. The </w:t>
      </w:r>
      <w:hyperlink r:id="rId61" w:tooltip="Federal Reserve System" w:history="1">
        <w:r w:rsidRPr="00F51EBA">
          <w:rPr>
            <w:rStyle w:val="Hyperlink"/>
            <w:color w:val="auto"/>
            <w:u w:val="none"/>
            <w:lang/>
          </w:rPr>
          <w:t>Federal Reserve System</w:t>
        </w:r>
      </w:hyperlink>
      <w:r w:rsidRPr="00F51EBA">
        <w:rPr>
          <w:lang/>
        </w:rPr>
        <w:t xml:space="preserve"> is </w:t>
      </w:r>
      <w:proofErr w:type="gramStart"/>
      <w:r w:rsidRPr="00F51EBA">
        <w:rPr>
          <w:lang/>
        </w:rPr>
        <w:t>a SIPS</w:t>
      </w:r>
      <w:proofErr w:type="gramEnd"/>
      <w:r w:rsidRPr="00F51EBA">
        <w:rPr>
          <w:lang/>
        </w:rPr>
        <w:t>.</w:t>
      </w:r>
    </w:p>
    <w:p w:rsidR="00F51EBA" w:rsidRPr="00F51EBA" w:rsidRDefault="00F51EBA" w:rsidP="00F51EBA">
      <w:pPr>
        <w:spacing w:before="100" w:beforeAutospacing="1" w:after="100" w:afterAutospacing="1" w:line="240" w:lineRule="auto"/>
        <w:outlineLvl w:val="0"/>
        <w:rPr>
          <w:rFonts w:ascii="Verdana" w:eastAsia="Times New Roman" w:hAnsi="Verdana" w:cs="Times New Roman"/>
          <w:b/>
          <w:bCs/>
          <w:kern w:val="36"/>
          <w:sz w:val="24"/>
          <w:szCs w:val="24"/>
        </w:rPr>
      </w:pPr>
      <w:r w:rsidRPr="00F51EBA">
        <w:rPr>
          <w:rFonts w:ascii="Verdana" w:eastAsia="Times New Roman" w:hAnsi="Verdana" w:cs="Times New Roman"/>
          <w:b/>
          <w:bCs/>
          <w:kern w:val="36"/>
          <w:sz w:val="24"/>
          <w:szCs w:val="24"/>
        </w:rPr>
        <w:t>Settlement</w:t>
      </w:r>
    </w:p>
    <w:p w:rsidR="00F51EBA" w:rsidRPr="00F51EBA" w:rsidRDefault="00F51EBA" w:rsidP="00F51EBA">
      <w:pPr>
        <w:pStyle w:val="NormalWeb"/>
        <w:rPr>
          <w:lang/>
        </w:rPr>
      </w:pPr>
      <w:r w:rsidRPr="00F51EBA">
        <w:rPr>
          <w:b/>
          <w:bCs/>
          <w:lang/>
        </w:rPr>
        <w:t>Settlement</w:t>
      </w:r>
      <w:r w:rsidRPr="00F51EBA">
        <w:rPr>
          <w:lang/>
        </w:rPr>
        <w:t xml:space="preserve"> of securities is a </w:t>
      </w:r>
      <w:hyperlink r:id="rId62" w:tooltip="Business process" w:history="1">
        <w:r w:rsidRPr="00F51EBA">
          <w:rPr>
            <w:rStyle w:val="Hyperlink"/>
            <w:color w:val="auto"/>
            <w:u w:val="none"/>
            <w:lang/>
          </w:rPr>
          <w:t>business process</w:t>
        </w:r>
      </w:hyperlink>
      <w:r w:rsidRPr="00F51EBA">
        <w:rPr>
          <w:lang/>
        </w:rPr>
        <w:t xml:space="preserve"> whereby </w:t>
      </w:r>
      <w:hyperlink r:id="rId63" w:tooltip="Security (finance)" w:history="1">
        <w:r w:rsidRPr="00F51EBA">
          <w:rPr>
            <w:rStyle w:val="Hyperlink"/>
            <w:color w:val="auto"/>
            <w:u w:val="none"/>
            <w:lang/>
          </w:rPr>
          <w:t>securities</w:t>
        </w:r>
      </w:hyperlink>
      <w:r w:rsidRPr="00F51EBA">
        <w:rPr>
          <w:lang/>
        </w:rPr>
        <w:t xml:space="preserve"> or interests in</w:t>
      </w:r>
      <w:r>
        <w:rPr>
          <w:lang/>
        </w:rPr>
        <w:t xml:space="preserve"> </w:t>
      </w:r>
      <w:r w:rsidRPr="00F51EBA">
        <w:rPr>
          <w:lang/>
        </w:rPr>
        <w:t>securities are delivered, usually against (</w:t>
      </w:r>
      <w:hyperlink r:id="rId64" w:tooltip="Delivery versus payment" w:history="1">
        <w:r w:rsidRPr="00F51EBA">
          <w:rPr>
            <w:rStyle w:val="Hyperlink"/>
            <w:color w:val="auto"/>
            <w:u w:val="none"/>
            <w:lang/>
          </w:rPr>
          <w:t>in simultaneous exchange for</w:t>
        </w:r>
      </w:hyperlink>
      <w:r w:rsidRPr="00F51EBA">
        <w:rPr>
          <w:lang/>
        </w:rPr>
        <w:t xml:space="preserve">) </w:t>
      </w:r>
      <w:hyperlink r:id="rId65" w:tooltip="Payment" w:history="1">
        <w:r w:rsidRPr="00F51EBA">
          <w:rPr>
            <w:rStyle w:val="Hyperlink"/>
            <w:color w:val="auto"/>
            <w:u w:val="none"/>
            <w:lang/>
          </w:rPr>
          <w:t>payment</w:t>
        </w:r>
      </w:hyperlink>
      <w:r w:rsidRPr="00F51EBA">
        <w:rPr>
          <w:lang/>
        </w:rPr>
        <w:t xml:space="preserve"> of money, to fulfill </w:t>
      </w:r>
      <w:hyperlink r:id="rId66" w:tooltip="Contract" w:history="1">
        <w:r w:rsidRPr="00F51EBA">
          <w:rPr>
            <w:rStyle w:val="Hyperlink"/>
            <w:color w:val="auto"/>
            <w:u w:val="none"/>
            <w:lang/>
          </w:rPr>
          <w:t>contractual</w:t>
        </w:r>
      </w:hyperlink>
      <w:r w:rsidRPr="00F51EBA">
        <w:rPr>
          <w:lang/>
        </w:rPr>
        <w:t xml:space="preserve"> obligations, such as those arising under securities trades.</w:t>
      </w:r>
    </w:p>
    <w:p w:rsidR="00F51EBA" w:rsidRPr="00F51EBA" w:rsidRDefault="00F51EBA" w:rsidP="00F51EBA">
      <w:pPr>
        <w:pStyle w:val="NormalWeb"/>
        <w:rPr>
          <w:lang/>
        </w:rPr>
      </w:pPr>
      <w:r w:rsidRPr="00F51EBA">
        <w:rPr>
          <w:lang/>
        </w:rPr>
        <w:t xml:space="preserve">In the U.S., the </w:t>
      </w:r>
      <w:hyperlink r:id="rId67" w:tooltip="Settlement date" w:history="1">
        <w:r w:rsidRPr="00F51EBA">
          <w:rPr>
            <w:rStyle w:val="Hyperlink"/>
            <w:color w:val="auto"/>
            <w:u w:val="none"/>
            <w:lang/>
          </w:rPr>
          <w:t>settlement date</w:t>
        </w:r>
      </w:hyperlink>
      <w:r w:rsidRPr="00F51EBA">
        <w:rPr>
          <w:lang/>
        </w:rPr>
        <w:t xml:space="preserve"> for marketable stocks is usually 3 business days after the trade is executed, and for listed options and government securities it is usually 1 day after the execution.</w:t>
      </w:r>
    </w:p>
    <w:p w:rsidR="00F51EBA" w:rsidRPr="00F51EBA" w:rsidRDefault="00F51EBA" w:rsidP="00F51EBA">
      <w:pPr>
        <w:pStyle w:val="NormalWeb"/>
        <w:rPr>
          <w:lang/>
        </w:rPr>
      </w:pPr>
      <w:r w:rsidRPr="00F51EBA">
        <w:rPr>
          <w:lang/>
        </w:rPr>
        <w:t>As part of performance on the delivery obligations entailed by the trade, settlement involves the delivery of securities and the corresponding payment.</w:t>
      </w:r>
    </w:p>
    <w:p w:rsidR="00F51EBA" w:rsidRPr="00F51EBA" w:rsidRDefault="00F51EBA" w:rsidP="00F51EBA">
      <w:pPr>
        <w:pStyle w:val="NormalWeb"/>
        <w:rPr>
          <w:lang/>
        </w:rPr>
      </w:pPr>
      <w:r w:rsidRPr="00F51EBA">
        <w:rPr>
          <w:lang/>
        </w:rPr>
        <w:t xml:space="preserve">A number of risks arise for the parties during the settlement interval, which are managed by the process of </w:t>
      </w:r>
      <w:hyperlink r:id="rId68" w:tooltip="Clearing (finance)" w:history="1">
        <w:r w:rsidRPr="00F51EBA">
          <w:rPr>
            <w:rStyle w:val="Hyperlink"/>
            <w:color w:val="auto"/>
            <w:u w:val="none"/>
            <w:lang/>
          </w:rPr>
          <w:t>clearing</w:t>
        </w:r>
      </w:hyperlink>
      <w:r w:rsidRPr="00F51EBA">
        <w:rPr>
          <w:lang/>
        </w:rPr>
        <w:t xml:space="preserve">, which follows trading and precedes settlement. Clearing involves modifying those contractual obligations so as to facilitate settlement, often by </w:t>
      </w:r>
      <w:hyperlink r:id="rId69" w:tooltip="Netting" w:history="1">
        <w:r w:rsidRPr="00F51EBA">
          <w:rPr>
            <w:rStyle w:val="Hyperlink"/>
            <w:color w:val="auto"/>
            <w:u w:val="none"/>
            <w:lang/>
          </w:rPr>
          <w:t>netting</w:t>
        </w:r>
      </w:hyperlink>
      <w:r w:rsidRPr="00F51EBA">
        <w:rPr>
          <w:lang/>
        </w:rPr>
        <w:t xml:space="preserve"> and </w:t>
      </w:r>
      <w:hyperlink r:id="rId70" w:tooltip="Novation" w:history="1">
        <w:proofErr w:type="spellStart"/>
        <w:r w:rsidRPr="00F51EBA">
          <w:rPr>
            <w:rStyle w:val="Hyperlink"/>
            <w:color w:val="auto"/>
            <w:u w:val="none"/>
            <w:lang/>
          </w:rPr>
          <w:t>novation</w:t>
        </w:r>
        <w:proofErr w:type="spellEnd"/>
      </w:hyperlink>
      <w:r w:rsidRPr="00F51EBA">
        <w:rPr>
          <w:lang/>
        </w:rPr>
        <w:t>.</w:t>
      </w:r>
    </w:p>
    <w:p w:rsidR="00F51EBA" w:rsidRPr="00F51EBA" w:rsidRDefault="00F51EBA" w:rsidP="00954A6D">
      <w:pPr>
        <w:spacing w:before="100" w:beforeAutospacing="1" w:after="100" w:afterAutospacing="1" w:line="240" w:lineRule="auto"/>
        <w:outlineLvl w:val="0"/>
        <w:rPr>
          <w:rFonts w:ascii="Verdana" w:eastAsia="Times New Roman" w:hAnsi="Verdana" w:cs="Times New Roman"/>
          <w:b/>
          <w:bCs/>
          <w:kern w:val="36"/>
          <w:sz w:val="24"/>
          <w:szCs w:val="24"/>
          <w:lang/>
        </w:rPr>
      </w:pPr>
      <w:r w:rsidRPr="00F51EBA">
        <w:rPr>
          <w:lang/>
        </w:rPr>
        <w:t xml:space="preserve">After the trade and before settlement, the rights of the purchaser are </w:t>
      </w:r>
      <w:hyperlink r:id="rId71" w:tooltip="Contract" w:history="1">
        <w:r w:rsidRPr="00F51EBA">
          <w:rPr>
            <w:rStyle w:val="Hyperlink"/>
            <w:color w:val="auto"/>
            <w:u w:val="none"/>
            <w:lang/>
          </w:rPr>
          <w:t>contractual</w:t>
        </w:r>
      </w:hyperlink>
      <w:r w:rsidRPr="00F51EBA">
        <w:rPr>
          <w:lang/>
        </w:rPr>
        <w:t xml:space="preserve"> and therefore </w:t>
      </w:r>
      <w:hyperlink r:id="rId72" w:tooltip="Personal rights" w:history="1">
        <w:r w:rsidRPr="00F51EBA">
          <w:rPr>
            <w:rStyle w:val="Hyperlink"/>
            <w:color w:val="auto"/>
            <w:u w:val="none"/>
            <w:lang/>
          </w:rPr>
          <w:t>personal</w:t>
        </w:r>
      </w:hyperlink>
      <w:r w:rsidRPr="00F51EBA">
        <w:rPr>
          <w:lang/>
        </w:rPr>
        <w:t xml:space="preserve">. Because they are merely personal, their rights are at risk in the event of the insolvency of the vendor. After settlement, the purchaser owns securities and their rights are </w:t>
      </w:r>
      <w:hyperlink r:id="rId73" w:tooltip="Property right" w:history="1">
        <w:r w:rsidRPr="00F51EBA">
          <w:rPr>
            <w:rStyle w:val="Hyperlink"/>
            <w:color w:val="auto"/>
            <w:u w:val="none"/>
            <w:lang/>
          </w:rPr>
          <w:t>proprietary</w:t>
        </w:r>
      </w:hyperlink>
      <w:r w:rsidRPr="00F51EBA">
        <w:rPr>
          <w:lang/>
        </w:rPr>
        <w:t>. Settlement is the delivery of securities to complete trades. It involves upgrading personal rights into property rights and thus protects market participants from the risk of the default of their counterparties.</w:t>
      </w:r>
    </w:p>
    <w:p w:rsidR="00954A6D" w:rsidRPr="00954A6D" w:rsidRDefault="00954A6D" w:rsidP="00954A6D">
      <w:pPr>
        <w:spacing w:before="100" w:beforeAutospacing="1" w:after="100" w:afterAutospacing="1" w:line="240" w:lineRule="auto"/>
        <w:outlineLvl w:val="0"/>
        <w:rPr>
          <w:rFonts w:ascii="Verdana" w:eastAsia="Times New Roman" w:hAnsi="Verdana" w:cs="Times New Roman"/>
          <w:b/>
          <w:bCs/>
          <w:color w:val="3B4FAE"/>
          <w:kern w:val="36"/>
          <w:sz w:val="24"/>
          <w:szCs w:val="24"/>
        </w:rPr>
      </w:pPr>
      <w:hyperlink r:id="rId74" w:history="1">
        <w:r w:rsidRPr="00FD3E6B">
          <w:rPr>
            <w:rStyle w:val="Hyperlink"/>
            <w:rFonts w:ascii="Verdana" w:eastAsia="Times New Roman" w:hAnsi="Verdana" w:cs="Times New Roman"/>
            <w:b/>
            <w:bCs/>
            <w:kern w:val="36"/>
            <w:sz w:val="24"/>
            <w:szCs w:val="24"/>
          </w:rPr>
          <w:t>http://www.sec.gov/divisions/marketreg/mrclearing.shtml</w:t>
        </w:r>
      </w:hyperlink>
      <w:r>
        <w:rPr>
          <w:rFonts w:ascii="Verdana" w:eastAsia="Times New Roman" w:hAnsi="Verdana" w:cs="Times New Roman"/>
          <w:b/>
          <w:bCs/>
          <w:color w:val="3B4FAE"/>
          <w:kern w:val="36"/>
          <w:sz w:val="24"/>
          <w:szCs w:val="24"/>
        </w:rPr>
        <w:t xml:space="preserve"> </w:t>
      </w:r>
    </w:p>
    <w:p w:rsidR="00954A6D" w:rsidRPr="00954A6D" w:rsidRDefault="00954A6D" w:rsidP="00954A6D">
      <w:pPr>
        <w:spacing w:before="100" w:beforeAutospacing="1" w:after="100" w:afterAutospacing="1" w:line="240" w:lineRule="auto"/>
        <w:rPr>
          <w:rFonts w:ascii="Verdana" w:eastAsia="Times New Roman" w:hAnsi="Verdana" w:cs="Times New Roman"/>
          <w:color w:val="454545"/>
          <w:sz w:val="20"/>
          <w:szCs w:val="20"/>
        </w:rPr>
      </w:pPr>
      <w:r w:rsidRPr="00954A6D">
        <w:rPr>
          <w:rFonts w:ascii="Verdana" w:eastAsia="Times New Roman" w:hAnsi="Verdana" w:cs="Times New Roman"/>
          <w:color w:val="454545"/>
          <w:sz w:val="20"/>
          <w:szCs w:val="20"/>
        </w:rPr>
        <w:t>Clearing Agencies are self-regulatory organizations that are required to register with the Commission. There are two types of clearing agencies -- clearing corporations and depositories. Clearing corporations compare member transactions (or report to members the results of exchange comparison operations), clear those trades and prepare instructions for automated settlement of those trades, and often act as intermediaries in making those settlements.</w:t>
      </w:r>
      <w:bookmarkStart w:id="0" w:name="P196_9331"/>
      <w:r w:rsidRPr="00954A6D">
        <w:rPr>
          <w:rFonts w:ascii="Verdana" w:eastAsia="Times New Roman" w:hAnsi="Verdana" w:cs="Times New Roman"/>
          <w:color w:val="454545"/>
          <w:sz w:val="20"/>
          <w:szCs w:val="20"/>
          <w:vertAlign w:val="superscript"/>
        </w:rPr>
        <w:fldChar w:fldCharType="begin"/>
      </w:r>
      <w:r w:rsidRPr="00954A6D">
        <w:rPr>
          <w:rFonts w:ascii="Verdana" w:eastAsia="Times New Roman" w:hAnsi="Verdana" w:cs="Times New Roman"/>
          <w:color w:val="454545"/>
          <w:sz w:val="20"/>
          <w:szCs w:val="20"/>
          <w:vertAlign w:val="superscript"/>
        </w:rPr>
        <w:instrText xml:space="preserve"> HYPERLINK "http://www.sec.gov/divisions/marketreg/mrclearing.shtml" \l "P196_9330" </w:instrText>
      </w:r>
      <w:r w:rsidRPr="00954A6D">
        <w:rPr>
          <w:rFonts w:ascii="Verdana" w:eastAsia="Times New Roman" w:hAnsi="Verdana" w:cs="Times New Roman"/>
          <w:color w:val="454545"/>
          <w:sz w:val="20"/>
          <w:szCs w:val="20"/>
          <w:vertAlign w:val="superscript"/>
        </w:rPr>
        <w:fldChar w:fldCharType="separate"/>
      </w:r>
      <w:r w:rsidRPr="00954A6D">
        <w:rPr>
          <w:rFonts w:ascii="Verdana" w:eastAsia="Times New Roman" w:hAnsi="Verdana" w:cs="Times New Roman"/>
          <w:color w:val="BF0023"/>
          <w:sz w:val="20"/>
          <w:szCs w:val="20"/>
          <w:u w:val="single"/>
          <w:vertAlign w:val="superscript"/>
        </w:rPr>
        <w:t>1</w:t>
      </w:r>
      <w:r w:rsidRPr="00954A6D">
        <w:rPr>
          <w:rFonts w:ascii="Verdana" w:eastAsia="Times New Roman" w:hAnsi="Verdana" w:cs="Times New Roman"/>
          <w:color w:val="454545"/>
          <w:sz w:val="20"/>
          <w:szCs w:val="20"/>
          <w:vertAlign w:val="superscript"/>
        </w:rPr>
        <w:fldChar w:fldCharType="end"/>
      </w:r>
      <w:bookmarkEnd w:id="0"/>
      <w:r w:rsidRPr="00954A6D">
        <w:rPr>
          <w:rFonts w:ascii="Verdana" w:eastAsia="Times New Roman" w:hAnsi="Verdana" w:cs="Times New Roman"/>
          <w:color w:val="454545"/>
          <w:sz w:val="20"/>
          <w:szCs w:val="20"/>
        </w:rPr>
        <w:t xml:space="preserve"> Depositories hold securities certificates in bulk form for their participants and maintain ownership records of the securities on their own books.</w:t>
      </w:r>
      <w:bookmarkStart w:id="1" w:name="P197_9632"/>
      <w:r w:rsidRPr="00954A6D">
        <w:rPr>
          <w:rFonts w:ascii="Verdana" w:eastAsia="Times New Roman" w:hAnsi="Verdana" w:cs="Times New Roman"/>
          <w:color w:val="454545"/>
          <w:sz w:val="20"/>
          <w:szCs w:val="20"/>
          <w:vertAlign w:val="superscript"/>
        </w:rPr>
        <w:fldChar w:fldCharType="begin"/>
      </w:r>
      <w:r w:rsidRPr="00954A6D">
        <w:rPr>
          <w:rFonts w:ascii="Verdana" w:eastAsia="Times New Roman" w:hAnsi="Verdana" w:cs="Times New Roman"/>
          <w:color w:val="454545"/>
          <w:sz w:val="20"/>
          <w:szCs w:val="20"/>
          <w:vertAlign w:val="superscript"/>
        </w:rPr>
        <w:instrText xml:space="preserve"> HYPERLINK "http://www.sec.gov/divisions/marketreg/mrclearing.shtml" \l "P197_9631" </w:instrText>
      </w:r>
      <w:r w:rsidRPr="00954A6D">
        <w:rPr>
          <w:rFonts w:ascii="Verdana" w:eastAsia="Times New Roman" w:hAnsi="Verdana" w:cs="Times New Roman"/>
          <w:color w:val="454545"/>
          <w:sz w:val="20"/>
          <w:szCs w:val="20"/>
          <w:vertAlign w:val="superscript"/>
        </w:rPr>
        <w:fldChar w:fldCharType="separate"/>
      </w:r>
      <w:r w:rsidRPr="00954A6D">
        <w:rPr>
          <w:rFonts w:ascii="Verdana" w:eastAsia="Times New Roman" w:hAnsi="Verdana" w:cs="Times New Roman"/>
          <w:color w:val="BF0023"/>
          <w:sz w:val="20"/>
          <w:szCs w:val="20"/>
          <w:u w:val="single"/>
          <w:vertAlign w:val="superscript"/>
        </w:rPr>
        <w:t>2</w:t>
      </w:r>
      <w:r w:rsidRPr="00954A6D">
        <w:rPr>
          <w:rFonts w:ascii="Verdana" w:eastAsia="Times New Roman" w:hAnsi="Verdana" w:cs="Times New Roman"/>
          <w:color w:val="454545"/>
          <w:sz w:val="20"/>
          <w:szCs w:val="20"/>
          <w:vertAlign w:val="superscript"/>
        </w:rPr>
        <w:fldChar w:fldCharType="end"/>
      </w:r>
      <w:bookmarkEnd w:id="1"/>
      <w:r w:rsidRPr="00954A6D">
        <w:rPr>
          <w:rFonts w:ascii="Verdana" w:eastAsia="Times New Roman" w:hAnsi="Verdana" w:cs="Times New Roman"/>
          <w:color w:val="454545"/>
          <w:sz w:val="20"/>
          <w:szCs w:val="20"/>
        </w:rPr>
        <w:t xml:space="preserve"> Physical securities are maintained in vaults, and ownership records are maintained on the books of the depository. Clearing corporations generally instruct depositories to make securities deliveries that result from settlement of securities transactions. In addition, depositories receive instructions from participants to move securities from one participant's account to another participant's account, either for free or in exchange for a payment of money.</w:t>
      </w:r>
    </w:p>
    <w:p w:rsidR="00954A6D" w:rsidRPr="00954A6D" w:rsidRDefault="00954A6D" w:rsidP="00954A6D">
      <w:pPr>
        <w:spacing w:before="100" w:beforeAutospacing="1" w:after="100" w:afterAutospacing="1" w:line="240" w:lineRule="auto"/>
        <w:rPr>
          <w:rFonts w:ascii="Verdana" w:eastAsia="Times New Roman" w:hAnsi="Verdana" w:cs="Times New Roman"/>
          <w:color w:val="454545"/>
          <w:sz w:val="20"/>
          <w:szCs w:val="20"/>
        </w:rPr>
      </w:pPr>
      <w:r w:rsidRPr="00954A6D">
        <w:rPr>
          <w:rFonts w:ascii="Verdana" w:eastAsia="Times New Roman" w:hAnsi="Verdana" w:cs="Times New Roman"/>
          <w:color w:val="454545"/>
          <w:sz w:val="20"/>
          <w:szCs w:val="20"/>
        </w:rPr>
        <w:lastRenderedPageBreak/>
        <w:t>Clearance may be accomplished on a trade-by-trade basis or through netting</w:t>
      </w:r>
      <w:bookmarkStart w:id="2" w:name="P200_10253"/>
      <w:r w:rsidRPr="00954A6D">
        <w:rPr>
          <w:rFonts w:ascii="Verdana" w:eastAsia="Times New Roman" w:hAnsi="Verdana" w:cs="Times New Roman"/>
          <w:color w:val="454545"/>
          <w:sz w:val="20"/>
          <w:szCs w:val="20"/>
          <w:vertAlign w:val="superscript"/>
        </w:rPr>
        <w:fldChar w:fldCharType="begin"/>
      </w:r>
      <w:r w:rsidRPr="00954A6D">
        <w:rPr>
          <w:rFonts w:ascii="Verdana" w:eastAsia="Times New Roman" w:hAnsi="Verdana" w:cs="Times New Roman"/>
          <w:color w:val="454545"/>
          <w:sz w:val="20"/>
          <w:szCs w:val="20"/>
          <w:vertAlign w:val="superscript"/>
        </w:rPr>
        <w:instrText xml:space="preserve"> HYPERLINK "http://www.sec.gov/divisions/marketreg/mrclearing.shtml" \l "P200_10252" </w:instrText>
      </w:r>
      <w:r w:rsidRPr="00954A6D">
        <w:rPr>
          <w:rFonts w:ascii="Verdana" w:eastAsia="Times New Roman" w:hAnsi="Verdana" w:cs="Times New Roman"/>
          <w:color w:val="454545"/>
          <w:sz w:val="20"/>
          <w:szCs w:val="20"/>
          <w:vertAlign w:val="superscript"/>
        </w:rPr>
        <w:fldChar w:fldCharType="separate"/>
      </w:r>
      <w:r w:rsidRPr="00954A6D">
        <w:rPr>
          <w:rFonts w:ascii="Verdana" w:eastAsia="Times New Roman" w:hAnsi="Verdana" w:cs="Times New Roman"/>
          <w:color w:val="BF0023"/>
          <w:sz w:val="20"/>
          <w:szCs w:val="20"/>
          <w:u w:val="single"/>
          <w:vertAlign w:val="superscript"/>
        </w:rPr>
        <w:t>3</w:t>
      </w:r>
      <w:r w:rsidRPr="00954A6D">
        <w:rPr>
          <w:rFonts w:ascii="Verdana" w:eastAsia="Times New Roman" w:hAnsi="Verdana" w:cs="Times New Roman"/>
          <w:color w:val="454545"/>
          <w:sz w:val="20"/>
          <w:szCs w:val="20"/>
          <w:vertAlign w:val="superscript"/>
        </w:rPr>
        <w:fldChar w:fldCharType="end"/>
      </w:r>
      <w:bookmarkEnd w:id="2"/>
      <w:r w:rsidRPr="00954A6D">
        <w:rPr>
          <w:rFonts w:ascii="Verdana" w:eastAsia="Times New Roman" w:hAnsi="Verdana" w:cs="Times New Roman"/>
          <w:color w:val="454545"/>
          <w:sz w:val="20"/>
          <w:szCs w:val="20"/>
        </w:rPr>
        <w:t xml:space="preserve"> of several trades either bilaterally between the two counterparties or multilaterally among all members of a clearing corporation to yield balance orders reflecting a single day's trades or all open positions to date (continuous net settlement or "CNS").</w:t>
      </w:r>
      <w:bookmarkStart w:id="3" w:name="P201_10609"/>
      <w:r w:rsidRPr="00954A6D">
        <w:rPr>
          <w:rFonts w:ascii="Verdana" w:eastAsia="Times New Roman" w:hAnsi="Verdana" w:cs="Times New Roman"/>
          <w:color w:val="454545"/>
          <w:sz w:val="20"/>
          <w:szCs w:val="20"/>
          <w:vertAlign w:val="superscript"/>
        </w:rPr>
        <w:fldChar w:fldCharType="begin"/>
      </w:r>
      <w:r w:rsidRPr="00954A6D">
        <w:rPr>
          <w:rFonts w:ascii="Verdana" w:eastAsia="Times New Roman" w:hAnsi="Verdana" w:cs="Times New Roman"/>
          <w:color w:val="454545"/>
          <w:sz w:val="20"/>
          <w:szCs w:val="20"/>
          <w:vertAlign w:val="superscript"/>
        </w:rPr>
        <w:instrText xml:space="preserve"> HYPERLINK "http://www.sec.gov/divisions/marketreg/mrclearing.shtml" \l "P201_10608" </w:instrText>
      </w:r>
      <w:r w:rsidRPr="00954A6D">
        <w:rPr>
          <w:rFonts w:ascii="Verdana" w:eastAsia="Times New Roman" w:hAnsi="Verdana" w:cs="Times New Roman"/>
          <w:color w:val="454545"/>
          <w:sz w:val="20"/>
          <w:szCs w:val="20"/>
          <w:vertAlign w:val="superscript"/>
        </w:rPr>
        <w:fldChar w:fldCharType="separate"/>
      </w:r>
      <w:r w:rsidRPr="00954A6D">
        <w:rPr>
          <w:rFonts w:ascii="Verdana" w:eastAsia="Times New Roman" w:hAnsi="Verdana" w:cs="Times New Roman"/>
          <w:color w:val="BF0023"/>
          <w:sz w:val="20"/>
          <w:szCs w:val="20"/>
          <w:u w:val="single"/>
          <w:vertAlign w:val="superscript"/>
        </w:rPr>
        <w:t>4</w:t>
      </w:r>
      <w:r w:rsidRPr="00954A6D">
        <w:rPr>
          <w:rFonts w:ascii="Verdana" w:eastAsia="Times New Roman" w:hAnsi="Verdana" w:cs="Times New Roman"/>
          <w:color w:val="454545"/>
          <w:sz w:val="20"/>
          <w:szCs w:val="20"/>
          <w:vertAlign w:val="superscript"/>
        </w:rPr>
        <w:fldChar w:fldCharType="end"/>
      </w:r>
      <w:bookmarkEnd w:id="3"/>
      <w:r w:rsidRPr="00954A6D">
        <w:rPr>
          <w:rFonts w:ascii="Verdana" w:eastAsia="Times New Roman" w:hAnsi="Verdana" w:cs="Times New Roman"/>
          <w:color w:val="454545"/>
          <w:sz w:val="20"/>
          <w:szCs w:val="20"/>
        </w:rPr>
        <w:t xml:space="preserve"> The majority of equity trades in the United States are cleared and settled in CNS systems. CNS systems net the securities delivery obligations and the payment obligations of all clearing corporation participants. Clearing corporations notify participants of their securities delivery and payment obligations each day. In addition, the clearing corporation guarantees the completion of all transactions and interposes itself as the </w:t>
      </w:r>
      <w:proofErr w:type="spellStart"/>
      <w:r w:rsidRPr="00954A6D">
        <w:rPr>
          <w:rFonts w:ascii="Verdana" w:eastAsia="Times New Roman" w:hAnsi="Verdana" w:cs="Times New Roman"/>
          <w:color w:val="454545"/>
          <w:sz w:val="20"/>
          <w:szCs w:val="20"/>
        </w:rPr>
        <w:t>contraparty</w:t>
      </w:r>
      <w:proofErr w:type="spellEnd"/>
      <w:r w:rsidRPr="00954A6D">
        <w:rPr>
          <w:rFonts w:ascii="Verdana" w:eastAsia="Times New Roman" w:hAnsi="Verdana" w:cs="Times New Roman"/>
          <w:color w:val="454545"/>
          <w:sz w:val="20"/>
          <w:szCs w:val="20"/>
        </w:rPr>
        <w:t xml:space="preserve"> to both sides of any transaction. As with trading systems, the different clearing and settlement systems can be manual, semi-automated, or fully automated and different types tend to predominate for certain securities.</w:t>
      </w:r>
    </w:p>
    <w:bookmarkStart w:id="4" w:name="P196_9330"/>
    <w:p w:rsidR="00954A6D" w:rsidRPr="00954A6D" w:rsidRDefault="00954A6D" w:rsidP="00954A6D">
      <w:pPr>
        <w:spacing w:before="100" w:beforeAutospacing="1" w:after="100" w:afterAutospacing="1" w:line="240" w:lineRule="auto"/>
        <w:rPr>
          <w:rFonts w:ascii="Verdana" w:eastAsia="Times New Roman" w:hAnsi="Verdana" w:cs="Times New Roman"/>
          <w:color w:val="454545"/>
          <w:sz w:val="20"/>
          <w:szCs w:val="20"/>
        </w:rPr>
      </w:pPr>
      <w:r w:rsidRPr="00954A6D">
        <w:rPr>
          <w:rFonts w:ascii="Verdana" w:eastAsia="Times New Roman" w:hAnsi="Verdana" w:cs="Times New Roman"/>
          <w:color w:val="454545"/>
          <w:sz w:val="20"/>
          <w:szCs w:val="20"/>
          <w:vertAlign w:val="superscript"/>
        </w:rPr>
        <w:fldChar w:fldCharType="begin"/>
      </w:r>
      <w:r w:rsidRPr="00954A6D">
        <w:rPr>
          <w:rFonts w:ascii="Verdana" w:eastAsia="Times New Roman" w:hAnsi="Verdana" w:cs="Times New Roman"/>
          <w:color w:val="454545"/>
          <w:sz w:val="20"/>
          <w:szCs w:val="20"/>
          <w:vertAlign w:val="superscript"/>
        </w:rPr>
        <w:instrText xml:space="preserve"> HYPERLINK "http://www.sec.gov/divisions/marketreg/mrclearing.shtml" \l "P196_9331" </w:instrText>
      </w:r>
      <w:r w:rsidRPr="00954A6D">
        <w:rPr>
          <w:rFonts w:ascii="Verdana" w:eastAsia="Times New Roman" w:hAnsi="Verdana" w:cs="Times New Roman"/>
          <w:color w:val="454545"/>
          <w:sz w:val="20"/>
          <w:szCs w:val="20"/>
          <w:vertAlign w:val="superscript"/>
        </w:rPr>
        <w:fldChar w:fldCharType="separate"/>
      </w:r>
      <w:r w:rsidRPr="00954A6D">
        <w:rPr>
          <w:rFonts w:ascii="Verdana" w:eastAsia="Times New Roman" w:hAnsi="Verdana" w:cs="Times New Roman"/>
          <w:color w:val="BF0023"/>
          <w:sz w:val="20"/>
          <w:szCs w:val="20"/>
          <w:u w:val="single"/>
          <w:vertAlign w:val="superscript"/>
        </w:rPr>
        <w:t>1</w:t>
      </w:r>
      <w:r w:rsidRPr="00954A6D">
        <w:rPr>
          <w:rFonts w:ascii="Verdana" w:eastAsia="Times New Roman" w:hAnsi="Verdana" w:cs="Times New Roman"/>
          <w:color w:val="454545"/>
          <w:sz w:val="20"/>
          <w:szCs w:val="20"/>
          <w:vertAlign w:val="superscript"/>
        </w:rPr>
        <w:fldChar w:fldCharType="end"/>
      </w:r>
      <w:bookmarkEnd w:id="4"/>
      <w:r w:rsidRPr="00954A6D">
        <w:rPr>
          <w:rFonts w:ascii="Verdana" w:eastAsia="Times New Roman" w:hAnsi="Verdana" w:cs="Times New Roman"/>
          <w:color w:val="454545"/>
          <w:sz w:val="20"/>
          <w:szCs w:val="20"/>
          <w:vertAlign w:val="superscript"/>
        </w:rPr>
        <w:t xml:space="preserve"> </w:t>
      </w:r>
      <w:r w:rsidRPr="00954A6D">
        <w:rPr>
          <w:rFonts w:ascii="Verdana" w:eastAsia="Times New Roman" w:hAnsi="Verdana" w:cs="Times New Roman"/>
          <w:color w:val="454545"/>
          <w:sz w:val="20"/>
          <w:szCs w:val="20"/>
        </w:rPr>
        <w:t>Clearing corporations include the National Securities Clearing Corporation, the Fixed Income Clearing Corporation, and The Options Clearing Corporation.</w:t>
      </w:r>
    </w:p>
    <w:bookmarkStart w:id="5" w:name="P197_9631"/>
    <w:p w:rsidR="00954A6D" w:rsidRPr="00954A6D" w:rsidRDefault="00954A6D" w:rsidP="00954A6D">
      <w:pPr>
        <w:spacing w:before="100" w:beforeAutospacing="1" w:after="100" w:afterAutospacing="1" w:line="240" w:lineRule="auto"/>
        <w:rPr>
          <w:rFonts w:ascii="Verdana" w:eastAsia="Times New Roman" w:hAnsi="Verdana" w:cs="Times New Roman"/>
          <w:color w:val="454545"/>
          <w:sz w:val="20"/>
          <w:szCs w:val="20"/>
        </w:rPr>
      </w:pPr>
      <w:r w:rsidRPr="00954A6D">
        <w:rPr>
          <w:rFonts w:ascii="Verdana" w:eastAsia="Times New Roman" w:hAnsi="Verdana" w:cs="Times New Roman"/>
          <w:color w:val="454545"/>
          <w:sz w:val="20"/>
          <w:szCs w:val="20"/>
          <w:vertAlign w:val="superscript"/>
        </w:rPr>
        <w:fldChar w:fldCharType="begin"/>
      </w:r>
      <w:r w:rsidRPr="00954A6D">
        <w:rPr>
          <w:rFonts w:ascii="Verdana" w:eastAsia="Times New Roman" w:hAnsi="Verdana" w:cs="Times New Roman"/>
          <w:color w:val="454545"/>
          <w:sz w:val="20"/>
          <w:szCs w:val="20"/>
          <w:vertAlign w:val="superscript"/>
        </w:rPr>
        <w:instrText xml:space="preserve"> HYPERLINK "http://www.sec.gov/divisions/marketreg/mrclearing.shtml" \l "P197_9632" </w:instrText>
      </w:r>
      <w:r w:rsidRPr="00954A6D">
        <w:rPr>
          <w:rFonts w:ascii="Verdana" w:eastAsia="Times New Roman" w:hAnsi="Verdana" w:cs="Times New Roman"/>
          <w:color w:val="454545"/>
          <w:sz w:val="20"/>
          <w:szCs w:val="20"/>
          <w:vertAlign w:val="superscript"/>
        </w:rPr>
        <w:fldChar w:fldCharType="separate"/>
      </w:r>
      <w:r w:rsidRPr="00954A6D">
        <w:rPr>
          <w:rFonts w:ascii="Verdana" w:eastAsia="Times New Roman" w:hAnsi="Verdana" w:cs="Times New Roman"/>
          <w:color w:val="BF0023"/>
          <w:sz w:val="20"/>
          <w:szCs w:val="20"/>
          <w:u w:val="single"/>
          <w:vertAlign w:val="superscript"/>
        </w:rPr>
        <w:t>2</w:t>
      </w:r>
      <w:r w:rsidRPr="00954A6D">
        <w:rPr>
          <w:rFonts w:ascii="Verdana" w:eastAsia="Times New Roman" w:hAnsi="Verdana" w:cs="Times New Roman"/>
          <w:color w:val="454545"/>
          <w:sz w:val="20"/>
          <w:szCs w:val="20"/>
          <w:vertAlign w:val="superscript"/>
        </w:rPr>
        <w:fldChar w:fldCharType="end"/>
      </w:r>
      <w:bookmarkEnd w:id="5"/>
      <w:r w:rsidRPr="00954A6D">
        <w:rPr>
          <w:rFonts w:ascii="Verdana" w:eastAsia="Times New Roman" w:hAnsi="Verdana" w:cs="Times New Roman"/>
          <w:color w:val="454545"/>
          <w:sz w:val="20"/>
          <w:szCs w:val="20"/>
          <w:vertAlign w:val="superscript"/>
        </w:rPr>
        <w:t xml:space="preserve"> </w:t>
      </w:r>
      <w:r w:rsidRPr="00954A6D">
        <w:rPr>
          <w:rFonts w:ascii="Verdana" w:eastAsia="Times New Roman" w:hAnsi="Verdana" w:cs="Times New Roman"/>
          <w:color w:val="454545"/>
          <w:sz w:val="20"/>
          <w:szCs w:val="20"/>
        </w:rPr>
        <w:t>Currently, The Depository Trust Company is the primary U.S. securities depository.</w:t>
      </w:r>
    </w:p>
    <w:bookmarkStart w:id="6" w:name="P200_10252"/>
    <w:p w:rsidR="00954A6D" w:rsidRPr="00954A6D" w:rsidRDefault="00954A6D" w:rsidP="00954A6D">
      <w:pPr>
        <w:spacing w:before="100" w:beforeAutospacing="1" w:after="100" w:afterAutospacing="1" w:line="240" w:lineRule="auto"/>
        <w:rPr>
          <w:rFonts w:ascii="Verdana" w:eastAsia="Times New Roman" w:hAnsi="Verdana" w:cs="Times New Roman"/>
          <w:color w:val="454545"/>
          <w:sz w:val="20"/>
          <w:szCs w:val="20"/>
        </w:rPr>
      </w:pPr>
      <w:r w:rsidRPr="00954A6D">
        <w:rPr>
          <w:rFonts w:ascii="Verdana" w:eastAsia="Times New Roman" w:hAnsi="Verdana" w:cs="Times New Roman"/>
          <w:color w:val="454545"/>
          <w:sz w:val="20"/>
          <w:szCs w:val="20"/>
          <w:vertAlign w:val="superscript"/>
        </w:rPr>
        <w:fldChar w:fldCharType="begin"/>
      </w:r>
      <w:r w:rsidRPr="00954A6D">
        <w:rPr>
          <w:rFonts w:ascii="Verdana" w:eastAsia="Times New Roman" w:hAnsi="Verdana" w:cs="Times New Roman"/>
          <w:color w:val="454545"/>
          <w:sz w:val="20"/>
          <w:szCs w:val="20"/>
          <w:vertAlign w:val="superscript"/>
        </w:rPr>
        <w:instrText xml:space="preserve"> HYPERLINK "http://www.sec.gov/divisions/marketreg/mrclearing.shtml" \l "P200_10253" </w:instrText>
      </w:r>
      <w:r w:rsidRPr="00954A6D">
        <w:rPr>
          <w:rFonts w:ascii="Verdana" w:eastAsia="Times New Roman" w:hAnsi="Verdana" w:cs="Times New Roman"/>
          <w:color w:val="454545"/>
          <w:sz w:val="20"/>
          <w:szCs w:val="20"/>
          <w:vertAlign w:val="superscript"/>
        </w:rPr>
        <w:fldChar w:fldCharType="separate"/>
      </w:r>
      <w:r w:rsidRPr="00954A6D">
        <w:rPr>
          <w:rFonts w:ascii="Verdana" w:eastAsia="Times New Roman" w:hAnsi="Verdana" w:cs="Times New Roman"/>
          <w:color w:val="BF0023"/>
          <w:sz w:val="20"/>
          <w:szCs w:val="20"/>
          <w:u w:val="single"/>
          <w:vertAlign w:val="superscript"/>
        </w:rPr>
        <w:t>3</w:t>
      </w:r>
      <w:r w:rsidRPr="00954A6D">
        <w:rPr>
          <w:rFonts w:ascii="Verdana" w:eastAsia="Times New Roman" w:hAnsi="Verdana" w:cs="Times New Roman"/>
          <w:color w:val="454545"/>
          <w:sz w:val="20"/>
          <w:szCs w:val="20"/>
          <w:vertAlign w:val="superscript"/>
        </w:rPr>
        <w:fldChar w:fldCharType="end"/>
      </w:r>
      <w:bookmarkEnd w:id="6"/>
      <w:r w:rsidRPr="00954A6D">
        <w:rPr>
          <w:rFonts w:ascii="Verdana" w:eastAsia="Times New Roman" w:hAnsi="Verdana" w:cs="Times New Roman"/>
          <w:color w:val="454545"/>
          <w:sz w:val="20"/>
          <w:szCs w:val="20"/>
          <w:vertAlign w:val="superscript"/>
        </w:rPr>
        <w:t xml:space="preserve"> </w:t>
      </w:r>
      <w:r w:rsidRPr="00954A6D">
        <w:rPr>
          <w:rFonts w:ascii="Verdana" w:eastAsia="Times New Roman" w:hAnsi="Verdana" w:cs="Times New Roman"/>
          <w:color w:val="454545"/>
          <w:sz w:val="20"/>
          <w:szCs w:val="20"/>
        </w:rPr>
        <w:t>"Netting" is the process of offsetting expected deliveries and payments against expected receipts.</w:t>
      </w:r>
    </w:p>
    <w:bookmarkStart w:id="7" w:name="P201_10608"/>
    <w:p w:rsidR="00954A6D" w:rsidRPr="00954A6D" w:rsidRDefault="00954A6D" w:rsidP="00954A6D">
      <w:pPr>
        <w:spacing w:before="100" w:beforeAutospacing="1" w:after="100" w:afterAutospacing="1" w:line="240" w:lineRule="auto"/>
        <w:rPr>
          <w:rFonts w:ascii="Verdana" w:eastAsia="Times New Roman" w:hAnsi="Verdana" w:cs="Times New Roman"/>
          <w:color w:val="454545"/>
          <w:sz w:val="20"/>
          <w:szCs w:val="20"/>
        </w:rPr>
      </w:pPr>
      <w:r w:rsidRPr="00954A6D">
        <w:rPr>
          <w:rFonts w:ascii="Verdana" w:eastAsia="Times New Roman" w:hAnsi="Verdana" w:cs="Times New Roman"/>
          <w:color w:val="454545"/>
          <w:sz w:val="20"/>
          <w:szCs w:val="20"/>
          <w:vertAlign w:val="superscript"/>
        </w:rPr>
        <w:fldChar w:fldCharType="begin"/>
      </w:r>
      <w:r w:rsidRPr="00954A6D">
        <w:rPr>
          <w:rFonts w:ascii="Verdana" w:eastAsia="Times New Roman" w:hAnsi="Verdana" w:cs="Times New Roman"/>
          <w:color w:val="454545"/>
          <w:sz w:val="20"/>
          <w:szCs w:val="20"/>
          <w:vertAlign w:val="superscript"/>
        </w:rPr>
        <w:instrText xml:space="preserve"> HYPERLINK "http://www.sec.gov/divisions/marketreg/mrclearing.shtml" \l "P201_10609" </w:instrText>
      </w:r>
      <w:r w:rsidRPr="00954A6D">
        <w:rPr>
          <w:rFonts w:ascii="Verdana" w:eastAsia="Times New Roman" w:hAnsi="Verdana" w:cs="Times New Roman"/>
          <w:color w:val="454545"/>
          <w:sz w:val="20"/>
          <w:szCs w:val="20"/>
          <w:vertAlign w:val="superscript"/>
        </w:rPr>
        <w:fldChar w:fldCharType="separate"/>
      </w:r>
      <w:r w:rsidRPr="00954A6D">
        <w:rPr>
          <w:rFonts w:ascii="Verdana" w:eastAsia="Times New Roman" w:hAnsi="Verdana" w:cs="Times New Roman"/>
          <w:color w:val="BF0023"/>
          <w:sz w:val="20"/>
          <w:szCs w:val="20"/>
          <w:u w:val="single"/>
          <w:vertAlign w:val="superscript"/>
        </w:rPr>
        <w:t>4</w:t>
      </w:r>
      <w:r w:rsidRPr="00954A6D">
        <w:rPr>
          <w:rFonts w:ascii="Verdana" w:eastAsia="Times New Roman" w:hAnsi="Verdana" w:cs="Times New Roman"/>
          <w:color w:val="454545"/>
          <w:sz w:val="20"/>
          <w:szCs w:val="20"/>
          <w:vertAlign w:val="superscript"/>
        </w:rPr>
        <w:fldChar w:fldCharType="end"/>
      </w:r>
      <w:bookmarkEnd w:id="7"/>
      <w:r w:rsidRPr="00954A6D">
        <w:rPr>
          <w:rFonts w:ascii="Verdana" w:eastAsia="Times New Roman" w:hAnsi="Verdana" w:cs="Times New Roman"/>
          <w:color w:val="454545"/>
          <w:sz w:val="20"/>
          <w:szCs w:val="20"/>
          <w:vertAlign w:val="superscript"/>
        </w:rPr>
        <w:t xml:space="preserve"> </w:t>
      </w:r>
      <w:r w:rsidRPr="00954A6D">
        <w:rPr>
          <w:rFonts w:ascii="Verdana" w:eastAsia="Times New Roman" w:hAnsi="Verdana" w:cs="Times New Roman"/>
          <w:color w:val="454545"/>
          <w:sz w:val="20"/>
          <w:szCs w:val="20"/>
        </w:rPr>
        <w:t>"Continuous net settlement" is an accounting system that summarizes and nets each participant's daily transactions in each issue, including open positions from previous days, to create a single long position or a single short position for the participant.</w:t>
      </w:r>
    </w:p>
    <w:p w:rsidR="00954A6D" w:rsidRDefault="00954A6D"/>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588"/>
        <w:gridCol w:w="863"/>
        <w:gridCol w:w="863"/>
        <w:gridCol w:w="864"/>
        <w:gridCol w:w="864"/>
        <w:gridCol w:w="864"/>
        <w:gridCol w:w="864"/>
        <w:gridCol w:w="864"/>
        <w:gridCol w:w="126"/>
      </w:tblGrid>
      <w:tr w:rsidR="00954A6D" w:rsidRPr="00954A6D" w:rsidTr="00954A6D">
        <w:trPr>
          <w:gridAfter w:val="1"/>
          <w:tblCellSpacing w:w="0"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sidRPr="00954A6D">
              <w:t>Clearing Firm</w:t>
            </w:r>
          </w:p>
        </w:tc>
        <w:tc>
          <w:tcPr>
            <w:tcW w:w="500" w:type="pct"/>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sidRPr="00954A6D">
              <w:t>CME</w:t>
            </w:r>
          </w:p>
        </w:tc>
        <w:tc>
          <w:tcPr>
            <w:tcW w:w="500" w:type="pct"/>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sidRPr="00954A6D">
              <w:t>CBOT</w:t>
            </w:r>
          </w:p>
        </w:tc>
        <w:tc>
          <w:tcPr>
            <w:tcW w:w="500" w:type="pct"/>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sidRPr="00954A6D">
              <w:t>NYMEX</w:t>
            </w:r>
          </w:p>
        </w:tc>
        <w:tc>
          <w:tcPr>
            <w:tcW w:w="500" w:type="pct"/>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sidRPr="00954A6D">
              <w:t>COMEX</w:t>
            </w:r>
          </w:p>
        </w:tc>
        <w:tc>
          <w:tcPr>
            <w:tcW w:w="500" w:type="pct"/>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sidRPr="00954A6D">
              <w:t>OTC IRS</w:t>
            </w:r>
          </w:p>
        </w:tc>
        <w:tc>
          <w:tcPr>
            <w:tcW w:w="500" w:type="pct"/>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sidRPr="00954A6D">
              <w:t>OTC CDS</w:t>
            </w:r>
          </w:p>
        </w:tc>
        <w:tc>
          <w:tcPr>
            <w:tcW w:w="500" w:type="pct"/>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sidRPr="00954A6D">
              <w:t>OTC FX</w:t>
            </w:r>
          </w:p>
        </w:tc>
      </w:tr>
      <w:tr w:rsidR="00954A6D" w:rsidRPr="00954A6D" w:rsidTr="00954A6D">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75" w:tgtFrame="_blank" w:history="1">
              <w:r w:rsidRPr="00954A6D">
                <w:t>ABN AMRO Clearing Chicago LLC</w:t>
              </w:r>
            </w:hyperlink>
            <w:r w:rsidRPr="00954A6D">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 name="Picture 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 name="Picture 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3" name="Picture 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4" name="Picture 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r>
      <w:tr w:rsidR="00954A6D" w:rsidRPr="00954A6D" w:rsidTr="00954A6D">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77" w:tgtFrame="_blank" w:history="1">
              <w:r w:rsidRPr="00954A6D">
                <w:t>ADM Investor Services, Inc.</w:t>
              </w:r>
            </w:hyperlink>
            <w:r w:rsidRPr="00954A6D">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5" name="Picture 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6" name="Picture 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7" name="Picture 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8" name="Picture 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r>
      <w:tr w:rsidR="00954A6D" w:rsidRPr="00954A6D" w:rsidTr="00954A6D">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78" w:tgtFrame="_blank" w:history="1">
              <w:r w:rsidRPr="00954A6D">
                <w:t>Advantage Futures, LLC</w:t>
              </w:r>
            </w:hyperlink>
            <w:r w:rsidRPr="00954A6D">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9" name="Picture 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0" name="Picture 1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1" name="Picture 1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2" name="Picture 1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r>
      <w:tr w:rsidR="00954A6D" w:rsidRPr="00954A6D" w:rsidTr="00954A6D">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79" w:tgtFrame="_blank" w:history="1">
              <w:r w:rsidRPr="00954A6D">
                <w:t>Bank of Montreal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3" name="Picture 1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r>
      <w:tr w:rsidR="00954A6D" w:rsidRPr="00954A6D" w:rsidTr="00954A6D">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80" w:tgtFrame="_blank" w:history="1">
              <w:r w:rsidRPr="00954A6D">
                <w:t>Barclays Capital Inc.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4" name="Picture 1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5" name="Picture 1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6" name="Picture 1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7" name="Picture 1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8" name="Picture 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9" name="Picture 1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r>
      <w:tr w:rsidR="00954A6D" w:rsidRPr="00954A6D" w:rsidTr="00954A6D">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81" w:tgtFrame="_blank" w:history="1">
              <w:r w:rsidRPr="00954A6D">
                <w:t>BMO Capital Markets Corp.</w:t>
              </w:r>
            </w:hyperlink>
            <w:r w:rsidRPr="00954A6D">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0" name="Picture 2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1" name="Picture 2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2" name="Picture 2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3" name="Picture 2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r>
      <w:tr w:rsidR="00954A6D" w:rsidRPr="00954A6D" w:rsidTr="00954A6D">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82" w:tgtFrame="_blank" w:history="1">
              <w:r w:rsidRPr="00954A6D">
                <w:t xml:space="preserve">BNP Paribas Prime </w:t>
              </w:r>
              <w:r w:rsidRPr="00954A6D">
                <w:lastRenderedPageBreak/>
                <w:t>Brokerage, Inc.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4" name="Picture 2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5" name="Picture 2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r>
      <w:tr w:rsidR="00954A6D" w:rsidRPr="00954A6D" w:rsidTr="00954A6D">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83" w:tgtFrame="_blank" w:history="1">
              <w:r w:rsidRPr="00954A6D">
                <w:t>BNP Paribas Securities Corp.</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6" name="Picture 2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7" name="Picture 2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8" name="Picture 2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9" name="Picture 2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r>
      <w:tr w:rsidR="00954A6D" w:rsidRPr="00954A6D" w:rsidTr="00954A6D">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84" w:tgtFrame="_blank" w:history="1">
              <w:r w:rsidRPr="00954A6D">
                <w:t>BOCI Commodities and Futures Limited</w:t>
              </w:r>
            </w:hyperlink>
            <w:r w:rsidRPr="00954A6D">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30" name="Picture 3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31" name="Picture 3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32" name="Picture 3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33" name="Picture 3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r>
      <w:tr w:rsidR="00954A6D" w:rsidRPr="00954A6D" w:rsidTr="00954A6D">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85" w:tgtFrame="_blank" w:history="1">
              <w:r w:rsidRPr="00954A6D">
                <w:t>BP Energy Company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34" name="Picture 3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r>
      <w:tr w:rsidR="00954A6D" w:rsidRPr="00954A6D" w:rsidTr="00954A6D">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86" w:tgtFrame="_blank" w:history="1">
              <w:r w:rsidRPr="00954A6D">
                <w:t>BP Products North America Inc.</w:t>
              </w:r>
            </w:hyperlink>
            <w:r w:rsidRPr="00954A6D">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35" name="Picture 3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r>
      <w:tr w:rsidR="00954A6D" w:rsidRPr="00954A6D" w:rsidTr="00954A6D">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87" w:tgtFrame="_blank" w:history="1">
              <w:r w:rsidRPr="00954A6D">
                <w:t>Bunge Chicago, Inc.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36" name="Picture 3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r>
      <w:tr w:rsidR="00954A6D" w:rsidRPr="00954A6D" w:rsidTr="00954A6D">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88" w:tgtFrame="_blank" w:history="1">
              <w:r w:rsidRPr="00954A6D">
                <w:t>Cantor Fitzgerald &amp; Co.</w:t>
              </w:r>
            </w:hyperlink>
            <w:r w:rsidRPr="00954A6D">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37" name="Picture 3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38" name="Picture 3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r>
      <w:tr w:rsidR="00954A6D" w:rsidRPr="00954A6D" w:rsidTr="00954A6D">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89" w:tgtFrame="_blank" w:history="1">
              <w:r w:rsidRPr="00954A6D">
                <w:t>China Merchants Futures (HK) Co., Limited</w:t>
              </w:r>
            </w:hyperlink>
            <w:r w:rsidRPr="00954A6D">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39" name="Picture 3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40" name="Picture 4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41" name="Picture 4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42" name="Picture 4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r>
      <w:tr w:rsidR="00954A6D" w:rsidRPr="00954A6D" w:rsidTr="00954A6D">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90" w:tgtFrame="_blank" w:history="1">
              <w:r w:rsidRPr="00954A6D">
                <w:t>CHS Hedging, LLC</w:t>
              </w:r>
              <w:r w:rsidRPr="00954A6D">
                <w:br/>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43" name="Picture 4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r>
      <w:tr w:rsidR="00954A6D" w:rsidRPr="00954A6D" w:rsidTr="00954A6D">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91" w:tgtFrame="_blank" w:history="1">
              <w:r w:rsidRPr="00954A6D">
                <w:t>CIBC World Markets Corp.</w:t>
              </w:r>
            </w:hyperlink>
            <w:r w:rsidRPr="00954A6D">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44" name="Picture 4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r>
      <w:tr w:rsidR="00954A6D" w:rsidRPr="00954A6D" w:rsidTr="00954A6D">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92" w:tgtFrame="_blank" w:history="1">
              <w:r w:rsidRPr="00954A6D">
                <w:t>Citigroup Global Markets Inc.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45" name="Picture 4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46" name="Picture 4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47" name="Picture 4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48" name="Picture 4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49" name="Picture 4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50" name="Picture 5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51" name="Picture 5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r>
      <w:tr w:rsidR="00954A6D" w:rsidRPr="00954A6D" w:rsidTr="00954A6D">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93" w:tgtFrame="_blank" w:history="1">
              <w:r w:rsidRPr="00954A6D">
                <w:t xml:space="preserve">Credit </w:t>
              </w:r>
              <w:proofErr w:type="spellStart"/>
              <w:r w:rsidRPr="00954A6D">
                <w:t>Agricole</w:t>
              </w:r>
              <w:proofErr w:type="spellEnd"/>
              <w:r w:rsidRPr="00954A6D">
                <w:t xml:space="preserve"> Corporate and Investment Bank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52" name="Picture 5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r>
      <w:tr w:rsidR="00954A6D" w:rsidRPr="00954A6D" w:rsidTr="00954A6D">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94" w:tgtFrame="_blank" w:history="1">
              <w:r w:rsidRPr="00954A6D">
                <w:t>Credit Suisse Securities (USA) LLC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53" name="Picture 5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54" name="Picture 5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55" name="Picture 5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56" name="Picture 5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57" name="Picture 5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58" name="Picture 5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59" name="Picture 5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r>
      <w:tr w:rsidR="00954A6D" w:rsidRPr="00954A6D" w:rsidTr="00954A6D">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95" w:tgtFrame="_blank" w:history="1">
              <w:r w:rsidRPr="00954A6D">
                <w:t>Credit Suisse International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60" name="Picture 6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61" name="Picture 6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62" name="Picture 6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63" name="Picture 6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64" name="Picture 6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65" name="Picture 6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r>
      <w:tr w:rsidR="00954A6D" w:rsidRPr="00954A6D" w:rsidTr="00954A6D">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96" w:tgtFrame="_blank" w:history="1">
              <w:proofErr w:type="spellStart"/>
              <w:r w:rsidRPr="00954A6D">
                <w:t>Crossland</w:t>
              </w:r>
              <w:proofErr w:type="spellEnd"/>
              <w:r w:rsidRPr="00954A6D">
                <w:t>, LLC</w:t>
              </w:r>
            </w:hyperlink>
            <w:r w:rsidRPr="00954A6D">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66" name="Picture 6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67" name="Picture 6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68" name="Picture 6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69" name="Picture 6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r>
      <w:tr w:rsidR="00954A6D" w:rsidRPr="00954A6D" w:rsidTr="00954A6D">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97" w:tgtFrame="_blank" w:history="1">
              <w:r w:rsidRPr="00954A6D">
                <w:t>Cunningham Commodities, Inc.</w:t>
              </w:r>
            </w:hyperlink>
            <w:r w:rsidRPr="00954A6D">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70" name="Picture 7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r>
      <w:tr w:rsidR="00954A6D" w:rsidRPr="00954A6D" w:rsidTr="00954A6D">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98" w:tgtFrame="_blank" w:history="1">
              <w:r w:rsidRPr="00954A6D">
                <w:t>Daiwa Capital Markets America Inc.</w:t>
              </w:r>
            </w:hyperlink>
            <w:r w:rsidRPr="00954A6D">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71" name="Picture 7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72" name="Picture 7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r>
      <w:tr w:rsidR="00954A6D" w:rsidRPr="00954A6D" w:rsidTr="00954A6D">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99" w:tgtFrame="_blank" w:history="1">
              <w:r w:rsidRPr="00954A6D">
                <w:t>Deutsche Bank Securities Inc.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73" name="Picture 7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74" name="Picture 7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75" name="Picture 7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76" name="Picture 7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77" name="Picture 7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78" name="Picture 7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r>
      <w:tr w:rsidR="00954A6D" w:rsidRPr="00954A6D" w:rsidTr="00954A6D">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100" w:tgtFrame="_blank" w:history="1">
              <w:r w:rsidRPr="00954A6D">
                <w:t>Dorman Trading, L.L.C.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79" name="Picture 7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80" name="Picture 8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81" name="Picture 8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82" name="Picture 8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r>
      <w:tr w:rsidR="00954A6D" w:rsidRPr="00954A6D" w:rsidTr="00954A6D">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101" w:tgtFrame="_blank" w:history="1">
              <w:r w:rsidRPr="00954A6D">
                <w:t>E D &amp; F Man Capital Markets Inc.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83" name="Picture 8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84" name="Picture 8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85" name="Picture 8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86" name="Picture 8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r>
      <w:tr w:rsidR="00954A6D" w:rsidRPr="00954A6D" w:rsidTr="00954A6D">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102" w:tgtFrame="_blank" w:history="1">
              <w:r w:rsidRPr="00954A6D">
                <w:t>Eagle Market Makers, Inc.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87" name="Picture 8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88" name="Picture 8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r>
      <w:tr w:rsidR="00954A6D" w:rsidRPr="00954A6D" w:rsidTr="00954A6D">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103" w:tgtFrame="_blank" w:history="1">
              <w:r w:rsidRPr="00954A6D">
                <w:t>EFL Futures Limited</w:t>
              </w:r>
            </w:hyperlink>
            <w:r w:rsidRPr="00954A6D">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89" name="Picture 8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90" name="Picture 9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91" name="Picture 9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92" name="Picture 9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r>
      <w:tr w:rsidR="00954A6D" w:rsidRPr="00954A6D" w:rsidTr="00954A6D">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sidRPr="00954A6D">
              <w:t>FC Stone, LLC</w:t>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93" name="Picture 9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94" name="Picture 9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95" name="Picture 9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96" name="Picture 9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r>
      <w:tr w:rsidR="00954A6D" w:rsidRPr="00954A6D" w:rsidTr="00954A6D">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104" w:tgtFrame="_blank" w:history="1">
              <w:r w:rsidRPr="00954A6D">
                <w:t>G.H. Financials, LLC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97" name="Picture 9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98" name="Picture 9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99" name="Picture 9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00" name="Picture 10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r>
      <w:tr w:rsidR="00954A6D" w:rsidRPr="00954A6D" w:rsidTr="00954A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105" w:tgtFrame="_blank" w:history="1">
              <w:proofErr w:type="spellStart"/>
              <w:r w:rsidRPr="00954A6D">
                <w:t>Gelber</w:t>
              </w:r>
              <w:proofErr w:type="spellEnd"/>
              <w:r w:rsidRPr="00954A6D">
                <w:t xml:space="preserve"> Group, LLC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01" name="Picture 10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02" name="Picture 10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03" name="Picture 10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04" name="Picture 10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r>
      <w:tr w:rsidR="00954A6D" w:rsidRPr="00954A6D" w:rsidTr="00954A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106" w:tgtFrame="_blank" w:history="1">
              <w:r w:rsidRPr="00954A6D">
                <w:t>Goldman, Sachs &amp; Co.</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05" name="Picture 10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06" name="Picture 10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07" name="Picture 10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08" name="Picture 10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09" name="Picture 10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10" name="Picture 11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vAlign w:val="center"/>
            <w:hideMark/>
          </w:tcPr>
          <w:p w:rsidR="00954A6D" w:rsidRPr="00954A6D" w:rsidRDefault="00954A6D" w:rsidP="00954A6D"/>
        </w:tc>
      </w:tr>
      <w:tr w:rsidR="00954A6D" w:rsidRPr="00954A6D" w:rsidTr="00954A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107" w:tgtFrame="_blank" w:history="1">
              <w:r w:rsidRPr="00954A6D">
                <w:t>Goldman Sachs Execution &amp; Clearing, L.P.</w:t>
              </w:r>
            </w:hyperlink>
            <w:r w:rsidRPr="00954A6D">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11" name="Picture 11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12" name="Picture 11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13" name="Picture 11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14" name="Picture 11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vAlign w:val="center"/>
            <w:hideMark/>
          </w:tcPr>
          <w:p w:rsidR="00954A6D" w:rsidRPr="00954A6D" w:rsidRDefault="00954A6D" w:rsidP="00954A6D"/>
        </w:tc>
      </w:tr>
      <w:tr w:rsidR="00954A6D" w:rsidRPr="00954A6D" w:rsidTr="00954A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108" w:tgtFrame="_blank" w:history="1">
              <w:r w:rsidRPr="00954A6D">
                <w:t>HSBC Securities (USA) Inc.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15" name="Picture 11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16" name="Picture 11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17" name="Picture 11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18" name="Picture 1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19" name="Picture 11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20" name="Picture 12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21" name="Picture 12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vAlign w:val="center"/>
            <w:hideMark/>
          </w:tcPr>
          <w:p w:rsidR="00954A6D" w:rsidRPr="00954A6D" w:rsidRDefault="00954A6D" w:rsidP="00954A6D"/>
        </w:tc>
      </w:tr>
      <w:tr w:rsidR="00954A6D" w:rsidRPr="00954A6D" w:rsidTr="00954A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109" w:tgtFrame="_blank" w:history="1">
              <w:r w:rsidRPr="00954A6D">
                <w:t>Jefferies Bache, LLC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22" name="Picture 12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23" name="Picture 12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24" name="Picture 12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25" name="Picture 12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vAlign w:val="center"/>
            <w:hideMark/>
          </w:tcPr>
          <w:p w:rsidR="00954A6D" w:rsidRPr="00954A6D" w:rsidRDefault="00954A6D" w:rsidP="00954A6D"/>
        </w:tc>
      </w:tr>
      <w:tr w:rsidR="00954A6D" w:rsidRPr="00954A6D" w:rsidTr="00954A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110" w:tgtFrame="_blank" w:history="1">
              <w:r w:rsidRPr="00954A6D">
                <w:t>Jump Trading Futures, LLC</w:t>
              </w:r>
            </w:hyperlink>
            <w:r w:rsidRPr="00954A6D">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26" name="Picture 12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27" name="Picture 12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28" name="Picture 12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29" name="Picture 12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vAlign w:val="center"/>
            <w:hideMark/>
          </w:tcPr>
          <w:p w:rsidR="00954A6D" w:rsidRPr="00954A6D" w:rsidRDefault="00954A6D" w:rsidP="00954A6D"/>
        </w:tc>
      </w:tr>
      <w:tr w:rsidR="00954A6D" w:rsidRPr="00954A6D" w:rsidTr="00954A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111" w:tgtFrame="_blank" w:history="1">
              <w:r w:rsidRPr="00954A6D">
                <w:t>J.P. Morgan Securities LLC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30" name="Picture 13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31" name="Picture 13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32" name="Picture 13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33" name="Picture 13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34" name="Picture 13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35" name="Picture 13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36" name="Picture 13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vAlign w:val="center"/>
            <w:hideMark/>
          </w:tcPr>
          <w:p w:rsidR="00954A6D" w:rsidRPr="00954A6D" w:rsidRDefault="00954A6D" w:rsidP="00954A6D"/>
        </w:tc>
      </w:tr>
      <w:tr w:rsidR="00954A6D" w:rsidRPr="00954A6D" w:rsidTr="00954A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112" w:tgtFrame="_blank" w:history="1">
              <w:r w:rsidRPr="00954A6D">
                <w:t>KCG Americas LLC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37" name="Picture 13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38" name="Picture 13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39" name="Picture 13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40" name="Picture 14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vAlign w:val="center"/>
            <w:hideMark/>
          </w:tcPr>
          <w:p w:rsidR="00954A6D" w:rsidRPr="00954A6D" w:rsidRDefault="00954A6D" w:rsidP="00954A6D"/>
        </w:tc>
      </w:tr>
      <w:tr w:rsidR="00954A6D" w:rsidRPr="00954A6D" w:rsidTr="00954A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sidRPr="00954A6D">
              <w:t>Longwood Trading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41" name="Picture 14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vAlign w:val="center"/>
            <w:hideMark/>
          </w:tcPr>
          <w:p w:rsidR="00954A6D" w:rsidRPr="00954A6D" w:rsidRDefault="00954A6D" w:rsidP="00954A6D"/>
        </w:tc>
      </w:tr>
      <w:tr w:rsidR="00954A6D" w:rsidRPr="00954A6D" w:rsidTr="00954A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113" w:tgtFrame="_blank" w:history="1">
              <w:r w:rsidRPr="00954A6D">
                <w:t>Macquarie Futures USA LLC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42" name="Picture 14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43" name="Picture 14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44" name="Picture 14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45" name="Picture 14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vAlign w:val="center"/>
            <w:hideMark/>
          </w:tcPr>
          <w:p w:rsidR="00954A6D" w:rsidRPr="00954A6D" w:rsidRDefault="00954A6D" w:rsidP="00954A6D"/>
        </w:tc>
      </w:tr>
      <w:tr w:rsidR="00954A6D" w:rsidRPr="00954A6D" w:rsidTr="00954A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114" w:tgtFrame="_blank" w:history="1">
              <w:proofErr w:type="spellStart"/>
              <w:r w:rsidRPr="00954A6D">
                <w:t>Marex</w:t>
              </w:r>
              <w:proofErr w:type="spellEnd"/>
              <w:r w:rsidRPr="00954A6D">
                <w:t xml:space="preserve"> North America LLC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46" name="Picture 14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47" name="Picture 14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48" name="Picture 14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49" name="Picture 14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vAlign w:val="center"/>
            <w:hideMark/>
          </w:tcPr>
          <w:p w:rsidR="00954A6D" w:rsidRPr="00954A6D" w:rsidRDefault="00954A6D" w:rsidP="00954A6D"/>
        </w:tc>
      </w:tr>
      <w:tr w:rsidR="00954A6D" w:rsidRPr="00954A6D" w:rsidTr="00954A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115" w:tgtFrame="_blank" w:history="1">
              <w:r w:rsidRPr="00954A6D">
                <w:t xml:space="preserve">Merrill Lynch, Pierce, </w:t>
              </w:r>
              <w:proofErr w:type="spellStart"/>
              <w:r w:rsidRPr="00954A6D">
                <w:t>Fenner</w:t>
              </w:r>
              <w:proofErr w:type="spellEnd"/>
              <w:r w:rsidRPr="00954A6D">
                <w:t xml:space="preserve"> &amp; Smith Inc.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50" name="Picture 15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51" name="Picture 15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52" name="Picture 15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53" name="Picture 15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54" name="Picture 15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55" name="Picture 15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56" name="Picture 15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vAlign w:val="center"/>
            <w:hideMark/>
          </w:tcPr>
          <w:p w:rsidR="00954A6D" w:rsidRPr="00954A6D" w:rsidRDefault="00954A6D" w:rsidP="00954A6D"/>
        </w:tc>
      </w:tr>
      <w:tr w:rsidR="00954A6D" w:rsidRPr="00954A6D" w:rsidTr="00954A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116" w:tgtFrame="_blank" w:history="1">
              <w:r w:rsidRPr="00954A6D">
                <w:t>Mizuho Securities USA Inc.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57" name="Picture 15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58" name="Picture 15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59" name="Picture 15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60" name="Picture 16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vAlign w:val="center"/>
            <w:hideMark/>
          </w:tcPr>
          <w:p w:rsidR="00954A6D" w:rsidRPr="00954A6D" w:rsidRDefault="00954A6D" w:rsidP="00954A6D"/>
        </w:tc>
      </w:tr>
      <w:tr w:rsidR="00954A6D" w:rsidRPr="00954A6D" w:rsidTr="00954A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117" w:tgtFrame="_blank" w:history="1">
              <w:r w:rsidRPr="00954A6D">
                <w:t>Morgan Stanley &amp; Co. LLC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61" name="Picture 16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62" name="Picture 16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63" name="Picture 16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64" name="Picture 16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65" name="Picture 16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66" name="Picture 16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67" name="Picture 16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vAlign w:val="center"/>
            <w:hideMark/>
          </w:tcPr>
          <w:p w:rsidR="00954A6D" w:rsidRPr="00954A6D" w:rsidRDefault="00954A6D" w:rsidP="00954A6D"/>
        </w:tc>
      </w:tr>
      <w:tr w:rsidR="00954A6D" w:rsidRPr="00954A6D" w:rsidTr="00954A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118" w:tgtFrame="_blank" w:history="1">
              <w:proofErr w:type="spellStart"/>
              <w:r w:rsidRPr="00954A6D">
                <w:t>Nanhua</w:t>
              </w:r>
              <w:proofErr w:type="spellEnd"/>
              <w:r w:rsidRPr="00954A6D">
                <w:t xml:space="preserve"> Futures (Hong Kong) Co., Ltd.</w:t>
              </w:r>
            </w:hyperlink>
            <w:r w:rsidRPr="00954A6D">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68" name="Picture 16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69" name="Picture 16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70" name="Picture 17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71" name="Picture 17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vAlign w:val="center"/>
            <w:hideMark/>
          </w:tcPr>
          <w:p w:rsidR="00954A6D" w:rsidRPr="00954A6D" w:rsidRDefault="00954A6D" w:rsidP="00954A6D"/>
        </w:tc>
      </w:tr>
      <w:tr w:rsidR="00954A6D" w:rsidRPr="00954A6D" w:rsidTr="00954A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119" w:tgtFrame="_blank" w:tooltip="Newedge USA, LLC" w:history="1">
              <w:proofErr w:type="spellStart"/>
              <w:r w:rsidRPr="00954A6D">
                <w:t>Newedge</w:t>
              </w:r>
              <w:proofErr w:type="spellEnd"/>
              <w:r w:rsidRPr="00954A6D">
                <w:t xml:space="preserve"> USA, LLC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72" name="Picture 17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73" name="Picture 17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74" name="Picture 17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75" name="Picture 17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76" name="Picture 17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vAlign w:val="center"/>
            <w:hideMark/>
          </w:tcPr>
          <w:p w:rsidR="00954A6D" w:rsidRPr="00954A6D" w:rsidRDefault="00954A6D" w:rsidP="00954A6D"/>
        </w:tc>
      </w:tr>
      <w:tr w:rsidR="00954A6D" w:rsidRPr="00954A6D" w:rsidTr="00954A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120" w:tgtFrame="_blank" w:history="1">
              <w:r w:rsidRPr="00954A6D">
                <w:t>Nomura Securities International, Inc.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77" name="Picture 17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78" name="Picture 17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79" name="Picture 17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80" name="Picture 18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81" name="Picture 18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vAlign w:val="center"/>
            <w:hideMark/>
          </w:tcPr>
          <w:p w:rsidR="00954A6D" w:rsidRPr="00954A6D" w:rsidRDefault="00954A6D" w:rsidP="00954A6D"/>
        </w:tc>
      </w:tr>
      <w:tr w:rsidR="00954A6D" w:rsidRPr="00954A6D" w:rsidTr="00954A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121" w:tgtFrame="_blank" w:history="1">
              <w:r w:rsidRPr="00954A6D">
                <w:t>Phillip Futures Inc.</w:t>
              </w:r>
            </w:hyperlink>
            <w:r w:rsidRPr="00954A6D">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82" name="Picture 18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83" name="Picture 18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84" name="Picture 18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85" name="Picture 18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vAlign w:val="center"/>
            <w:hideMark/>
          </w:tcPr>
          <w:p w:rsidR="00954A6D" w:rsidRPr="00954A6D" w:rsidRDefault="00954A6D" w:rsidP="00954A6D"/>
        </w:tc>
      </w:tr>
      <w:tr w:rsidR="00954A6D" w:rsidRPr="00954A6D" w:rsidTr="00954A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122" w:tgtFrame="_blank" w:history="1">
              <w:proofErr w:type="spellStart"/>
              <w:r w:rsidRPr="00954A6D">
                <w:t>Proxima</w:t>
              </w:r>
              <w:proofErr w:type="spellEnd"/>
              <w:r w:rsidRPr="00954A6D">
                <w:t xml:space="preserve"> Clearing, LLC</w:t>
              </w:r>
            </w:hyperlink>
            <w:r w:rsidRPr="00954A6D">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86" name="Picture 18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vAlign w:val="center"/>
            <w:hideMark/>
          </w:tcPr>
          <w:p w:rsidR="00954A6D" w:rsidRPr="00954A6D" w:rsidRDefault="00954A6D" w:rsidP="00954A6D"/>
        </w:tc>
      </w:tr>
      <w:tr w:rsidR="00954A6D" w:rsidRPr="00954A6D" w:rsidTr="00954A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proofErr w:type="spellStart"/>
            <w:r w:rsidRPr="00954A6D">
              <w:t>Rabo</w:t>
            </w:r>
            <w:proofErr w:type="spellEnd"/>
            <w:r w:rsidRPr="00954A6D">
              <w:t xml:space="preserve"> Securities USA Inc.</w:t>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87" name="Picture 18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vAlign w:val="center"/>
            <w:hideMark/>
          </w:tcPr>
          <w:p w:rsidR="00954A6D" w:rsidRPr="00954A6D" w:rsidRDefault="00954A6D" w:rsidP="00954A6D"/>
        </w:tc>
      </w:tr>
      <w:tr w:rsidR="00954A6D" w:rsidRPr="00954A6D" w:rsidTr="00954A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123" w:tgtFrame="_blank" w:history="1">
              <w:r w:rsidRPr="00954A6D">
                <w:t>Rand Financial Services Inc.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88" name="Picture 18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89" name="Picture 18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90" name="Picture 19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91" name="Picture 19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vAlign w:val="center"/>
            <w:hideMark/>
          </w:tcPr>
          <w:p w:rsidR="00954A6D" w:rsidRPr="00954A6D" w:rsidRDefault="00954A6D" w:rsidP="00954A6D"/>
        </w:tc>
      </w:tr>
      <w:tr w:rsidR="00954A6D" w:rsidRPr="00954A6D" w:rsidTr="00954A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124" w:tgtFrame="_blank" w:history="1">
              <w:r w:rsidRPr="00954A6D">
                <w:t>RBC Capital Markets LLC</w:t>
              </w:r>
            </w:hyperlink>
            <w:r w:rsidRPr="00954A6D">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92" name="Picture 19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93" name="Picture 19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94" name="Picture 19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95" name="Picture 19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vAlign w:val="center"/>
            <w:hideMark/>
          </w:tcPr>
          <w:p w:rsidR="00954A6D" w:rsidRPr="00954A6D" w:rsidRDefault="00954A6D" w:rsidP="00954A6D"/>
        </w:tc>
      </w:tr>
      <w:tr w:rsidR="00954A6D" w:rsidRPr="00954A6D" w:rsidTr="00954A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125" w:tgtFrame="_blank" w:history="1">
              <w:r w:rsidRPr="00954A6D">
                <w:t>RBS Securities Inc.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96" name="Picture 19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97" name="Picture 19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98" name="Picture 19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199" name="Picture 19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00" name="Picture 20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vAlign w:val="center"/>
            <w:hideMark/>
          </w:tcPr>
          <w:p w:rsidR="00954A6D" w:rsidRPr="00954A6D" w:rsidRDefault="00954A6D" w:rsidP="00954A6D"/>
        </w:tc>
      </w:tr>
      <w:tr w:rsidR="00954A6D" w:rsidRPr="00954A6D" w:rsidTr="00954A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sidRPr="00954A6D">
              <w:t>RDG Trading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01" name="Picture 20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vAlign w:val="center"/>
            <w:hideMark/>
          </w:tcPr>
          <w:p w:rsidR="00954A6D" w:rsidRPr="00954A6D" w:rsidRDefault="00954A6D" w:rsidP="00954A6D"/>
        </w:tc>
      </w:tr>
      <w:tr w:rsidR="00954A6D" w:rsidRPr="00954A6D" w:rsidTr="00954A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126" w:tgtFrame="_blank" w:history="1">
              <w:r w:rsidRPr="00954A6D">
                <w:t>R.J. O'Brien &amp; Associates, LLC</w:t>
              </w:r>
            </w:hyperlink>
            <w:r w:rsidRPr="00954A6D">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02" name="Picture 20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03" name="Picture 20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04" name="Picture 20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05" name="Picture 20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vAlign w:val="center"/>
            <w:hideMark/>
          </w:tcPr>
          <w:p w:rsidR="00954A6D" w:rsidRPr="00954A6D" w:rsidRDefault="00954A6D" w:rsidP="00954A6D"/>
        </w:tc>
      </w:tr>
      <w:tr w:rsidR="00954A6D" w:rsidRPr="00954A6D" w:rsidTr="00954A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127" w:tgtFrame="_blank" w:history="1">
              <w:proofErr w:type="spellStart"/>
              <w:r w:rsidRPr="00954A6D">
                <w:t>Ronin</w:t>
              </w:r>
              <w:proofErr w:type="spellEnd"/>
              <w:r w:rsidRPr="00954A6D">
                <w:t xml:space="preserve"> Capital, LLC</w:t>
              </w:r>
            </w:hyperlink>
            <w:r w:rsidRPr="00954A6D">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06" name="Picture 20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07" name="Picture 20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vAlign w:val="center"/>
            <w:hideMark/>
          </w:tcPr>
          <w:p w:rsidR="00954A6D" w:rsidRPr="00954A6D" w:rsidRDefault="00954A6D" w:rsidP="00954A6D"/>
        </w:tc>
      </w:tr>
      <w:tr w:rsidR="00954A6D" w:rsidRPr="00954A6D" w:rsidTr="00954A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128" w:tgtFrame="_blank" w:history="1">
              <w:r w:rsidRPr="00954A6D">
                <w:t>Rosenthal Collins Group, L.L.C.</w:t>
              </w:r>
            </w:hyperlink>
            <w:r w:rsidRPr="00954A6D">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08" name="Picture 20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09" name="Picture 20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10" name="Picture 21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11" name="Picture 21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vAlign w:val="center"/>
            <w:hideMark/>
          </w:tcPr>
          <w:p w:rsidR="00954A6D" w:rsidRPr="00954A6D" w:rsidRDefault="00954A6D" w:rsidP="00954A6D"/>
        </w:tc>
      </w:tr>
      <w:tr w:rsidR="00954A6D" w:rsidRPr="00954A6D" w:rsidTr="00954A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129" w:tgtFrame="_blank" w:history="1">
              <w:r w:rsidRPr="00954A6D">
                <w:t>Royal Bank of Canada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12" name="Picture 21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vAlign w:val="center"/>
            <w:hideMark/>
          </w:tcPr>
          <w:p w:rsidR="00954A6D" w:rsidRPr="00954A6D" w:rsidRDefault="00954A6D" w:rsidP="00954A6D"/>
        </w:tc>
      </w:tr>
      <w:tr w:rsidR="00954A6D" w:rsidRPr="00954A6D" w:rsidTr="00954A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sidRPr="00954A6D">
              <w:lastRenderedPageBreak/>
              <w:t>Santander Investment Securities Inc.</w:t>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13" name="Picture 21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14" name="Picture 21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15" name="Picture 21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16" name="Picture 21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vAlign w:val="center"/>
            <w:hideMark/>
          </w:tcPr>
          <w:p w:rsidR="00954A6D" w:rsidRPr="00954A6D" w:rsidRDefault="00954A6D" w:rsidP="00954A6D"/>
        </w:tc>
      </w:tr>
      <w:tr w:rsidR="00954A6D" w:rsidRPr="00954A6D" w:rsidTr="00954A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130" w:tgtFrame="_blank" w:history="1">
              <w:proofErr w:type="spellStart"/>
              <w:r w:rsidRPr="00954A6D">
                <w:t>Societe</w:t>
              </w:r>
              <w:proofErr w:type="spellEnd"/>
              <w:r w:rsidRPr="00954A6D">
                <w:t xml:space="preserve"> </w:t>
              </w:r>
              <w:proofErr w:type="spellStart"/>
              <w:r w:rsidRPr="00954A6D">
                <w:t>Generale</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17" name="Picture 21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18" name="Picture 2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vAlign w:val="center"/>
            <w:hideMark/>
          </w:tcPr>
          <w:p w:rsidR="00954A6D" w:rsidRPr="00954A6D" w:rsidRDefault="00954A6D" w:rsidP="00954A6D"/>
        </w:tc>
      </w:tr>
      <w:tr w:rsidR="00954A6D" w:rsidRPr="00954A6D" w:rsidTr="00954A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131" w:tgtFrame="_blank" w:history="1">
              <w:r w:rsidRPr="00954A6D">
                <w:t>State Street Global Markets, LLC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19" name="Picture 21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20" name="Picture 22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21" name="Picture 22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vAlign w:val="center"/>
            <w:hideMark/>
          </w:tcPr>
          <w:p w:rsidR="00954A6D" w:rsidRPr="00954A6D" w:rsidRDefault="00954A6D" w:rsidP="00954A6D"/>
        </w:tc>
      </w:tr>
      <w:tr w:rsidR="00954A6D" w:rsidRPr="00954A6D" w:rsidTr="00954A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132" w:tgtFrame="_blank" w:history="1">
              <w:r w:rsidRPr="00954A6D">
                <w:t>Straits Financial LLC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22" name="Picture 22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23" name="Picture 22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24" name="Picture 22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25" name="Picture 22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vAlign w:val="center"/>
            <w:hideMark/>
          </w:tcPr>
          <w:p w:rsidR="00954A6D" w:rsidRPr="00954A6D" w:rsidRDefault="00954A6D" w:rsidP="00954A6D"/>
        </w:tc>
      </w:tr>
      <w:tr w:rsidR="00954A6D" w:rsidRPr="00954A6D" w:rsidTr="00954A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133" w:tgtFrame="_blank" w:history="1">
              <w:r w:rsidRPr="00954A6D">
                <w:t>Term Commodities Inc.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26" name="Picture 22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27" name="Picture 22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vAlign w:val="center"/>
            <w:hideMark/>
          </w:tcPr>
          <w:p w:rsidR="00954A6D" w:rsidRPr="00954A6D" w:rsidRDefault="00954A6D" w:rsidP="00954A6D"/>
        </w:tc>
      </w:tr>
      <w:tr w:rsidR="00954A6D" w:rsidRPr="00954A6D" w:rsidTr="00954A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134" w:tgtFrame="_blank" w:history="1">
              <w:r w:rsidRPr="00954A6D">
                <w:t>The Bank of Nova Scotia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28" name="Picture 22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29" name="Picture 22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vAlign w:val="center"/>
            <w:hideMark/>
          </w:tcPr>
          <w:p w:rsidR="00954A6D" w:rsidRPr="00954A6D" w:rsidRDefault="00954A6D" w:rsidP="00954A6D"/>
        </w:tc>
      </w:tr>
      <w:tr w:rsidR="00954A6D" w:rsidRPr="00954A6D" w:rsidTr="00954A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135" w:tgtFrame="_blank" w:history="1">
              <w:r w:rsidRPr="00954A6D">
                <w:t>The Royal Bank of Scotland plc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30" name="Picture 23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31" name="Picture 23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32" name="Picture 23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33" name="Picture 23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34" name="Picture 23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35" name="Picture 23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vAlign w:val="center"/>
            <w:hideMark/>
          </w:tcPr>
          <w:p w:rsidR="00954A6D" w:rsidRPr="00954A6D" w:rsidRDefault="00954A6D" w:rsidP="00954A6D"/>
        </w:tc>
      </w:tr>
      <w:tr w:rsidR="00954A6D" w:rsidRPr="00954A6D" w:rsidTr="00954A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136" w:tgtFrame="_blank" w:history="1">
              <w:r w:rsidRPr="00954A6D">
                <w:t>The Toronto-Dominion Bank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36" name="Picture 23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vAlign w:val="center"/>
            <w:hideMark/>
          </w:tcPr>
          <w:p w:rsidR="00954A6D" w:rsidRPr="00954A6D" w:rsidRDefault="00954A6D" w:rsidP="00954A6D"/>
        </w:tc>
      </w:tr>
      <w:tr w:rsidR="00954A6D" w:rsidRPr="00954A6D" w:rsidTr="00954A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137" w:tgtFrame="_blank" w:history="1">
              <w:r w:rsidRPr="00954A6D">
                <w:t>Timber Hill LLC</w:t>
              </w:r>
            </w:hyperlink>
            <w:r w:rsidRPr="00954A6D">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37" name="Picture 23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38" name="Picture 23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39" name="Picture 23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40" name="Picture 24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vAlign w:val="center"/>
            <w:hideMark/>
          </w:tcPr>
          <w:p w:rsidR="00954A6D" w:rsidRPr="00954A6D" w:rsidRDefault="00954A6D" w:rsidP="00954A6D"/>
        </w:tc>
      </w:tr>
      <w:tr w:rsidR="00954A6D" w:rsidRPr="00954A6D" w:rsidTr="00954A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138" w:tgtFrame="_blank" w:history="1">
              <w:proofErr w:type="spellStart"/>
              <w:r w:rsidRPr="00954A6D">
                <w:t>TradeLink</w:t>
              </w:r>
              <w:proofErr w:type="spellEnd"/>
              <w:r w:rsidRPr="00954A6D">
                <w:t xml:space="preserve"> L.L.C.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41" name="Picture 24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42" name="Picture 24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43" name="Picture 24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44" name="Picture 24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vAlign w:val="center"/>
            <w:hideMark/>
          </w:tcPr>
          <w:p w:rsidR="00954A6D" w:rsidRPr="00954A6D" w:rsidRDefault="00954A6D" w:rsidP="00954A6D"/>
        </w:tc>
      </w:tr>
      <w:tr w:rsidR="00954A6D" w:rsidRPr="00954A6D" w:rsidTr="00954A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139" w:tgtFrame="_blank" w:history="1">
              <w:r w:rsidRPr="00954A6D">
                <w:t>UBS Securities LLC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45" name="Picture 24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46" name="Picture 24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47" name="Picture 24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48" name="Picture 24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49" name="Picture 24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50" name="Picture 25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vAlign w:val="center"/>
            <w:hideMark/>
          </w:tcPr>
          <w:p w:rsidR="00954A6D" w:rsidRPr="00954A6D" w:rsidRDefault="00954A6D" w:rsidP="00954A6D"/>
        </w:tc>
      </w:tr>
      <w:tr w:rsidR="00954A6D" w:rsidRPr="00954A6D" w:rsidTr="00954A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sidRPr="00954A6D">
              <w:t>UOBBF Clearing Limited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51" name="Picture 25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52" name="Picture 25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53" name="Picture 25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54" name="Picture 25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vAlign w:val="center"/>
            <w:hideMark/>
          </w:tcPr>
          <w:p w:rsidR="00954A6D" w:rsidRPr="00954A6D" w:rsidRDefault="00954A6D" w:rsidP="00954A6D"/>
        </w:tc>
      </w:tr>
      <w:tr w:rsidR="00954A6D" w:rsidRPr="00954A6D" w:rsidTr="00954A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140" w:tgtFrame="_blank" w:history="1">
              <w:r w:rsidRPr="00954A6D">
                <w:t>Vision Financial Markets LLC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55" name="Picture 25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56" name="Picture 25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57" name="Picture 25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58" name="Picture 25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vAlign w:val="center"/>
            <w:hideMark/>
          </w:tcPr>
          <w:p w:rsidR="00954A6D" w:rsidRPr="00954A6D" w:rsidRDefault="00954A6D" w:rsidP="00954A6D"/>
        </w:tc>
      </w:tr>
      <w:tr w:rsidR="00954A6D" w:rsidRPr="00954A6D" w:rsidTr="00954A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hyperlink r:id="rId141" w:tgtFrame="_blank" w:history="1">
              <w:r w:rsidRPr="00954A6D">
                <w:t>Wells Fargo Securities, LLC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59" name="Picture 25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60" name="Picture 26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61" name="Picture 26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62" name="Picture 26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r>
              <w:rPr>
                <w:noProof/>
              </w:rPr>
              <w:drawing>
                <wp:inline distT="0" distB="0" distL="0" distR="0">
                  <wp:extent cx="78105" cy="78105"/>
                  <wp:effectExtent l="19050" t="0" r="0" b="0"/>
                  <wp:docPr id="263" name="Picture 26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yes"/>
                          <pic:cNvPicPr>
                            <a:picLocks noChangeAspect="1" noChangeArrowheads="1"/>
                          </pic:cNvPicPr>
                        </pic:nvPicPr>
                        <pic:blipFill>
                          <a:blip r:embed="rId76" cstate="print"/>
                          <a:srcRect/>
                          <a:stretch>
                            <a:fillRect/>
                          </a:stretch>
                        </pic:blipFill>
                        <pic:spPr bwMode="auto">
                          <a:xfrm>
                            <a:off x="0" y="0"/>
                            <a:ext cx="78105" cy="781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tcBorders>
              <w:top w:val="outset" w:sz="6" w:space="0" w:color="auto"/>
              <w:left w:val="outset" w:sz="6" w:space="0" w:color="auto"/>
              <w:bottom w:val="outset" w:sz="6" w:space="0" w:color="auto"/>
              <w:right w:val="outset" w:sz="6" w:space="0" w:color="auto"/>
            </w:tcBorders>
            <w:vAlign w:val="center"/>
            <w:hideMark/>
          </w:tcPr>
          <w:p w:rsidR="00954A6D" w:rsidRPr="00954A6D" w:rsidRDefault="00954A6D" w:rsidP="00954A6D"/>
        </w:tc>
        <w:tc>
          <w:tcPr>
            <w:tcW w:w="0" w:type="auto"/>
            <w:vAlign w:val="center"/>
            <w:hideMark/>
          </w:tcPr>
          <w:p w:rsidR="00954A6D" w:rsidRPr="00954A6D" w:rsidRDefault="00954A6D" w:rsidP="00954A6D"/>
        </w:tc>
      </w:tr>
    </w:tbl>
    <w:p w:rsidR="00954A6D" w:rsidRPr="00954A6D" w:rsidRDefault="00954A6D" w:rsidP="00954A6D">
      <w:r w:rsidRPr="00954A6D">
        <w:t xml:space="preserve">+ - Denotes Firm is </w:t>
      </w:r>
      <w:proofErr w:type="gramStart"/>
      <w:r w:rsidRPr="00954A6D">
        <w:t>Not</w:t>
      </w:r>
      <w:proofErr w:type="gramEnd"/>
      <w:r w:rsidRPr="00954A6D">
        <w:t xml:space="preserve"> Actively Clearing </w:t>
      </w:r>
    </w:p>
    <w:p w:rsidR="00954A6D" w:rsidRDefault="00954A6D"/>
    <w:p w:rsidR="00954A6D" w:rsidRDefault="00954A6D"/>
    <w:p w:rsidR="00954A6D" w:rsidRDefault="00954A6D"/>
    <w:sectPr w:rsidR="00954A6D" w:rsidSect="00850833">
      <w:headerReference w:type="default" r:id="rId142"/>
      <w:footerReference w:type="default" r:id="rId14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5BF" w:rsidRDefault="00C555BF" w:rsidP="001841A2">
      <w:pPr>
        <w:spacing w:after="0" w:line="240" w:lineRule="auto"/>
      </w:pPr>
      <w:r>
        <w:separator/>
      </w:r>
    </w:p>
  </w:endnote>
  <w:endnote w:type="continuationSeparator" w:id="0">
    <w:p w:rsidR="00C555BF" w:rsidRDefault="00C555BF" w:rsidP="001841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8758"/>
      <w:docPartObj>
        <w:docPartGallery w:val="Page Numbers (Bottom of Page)"/>
        <w:docPartUnique/>
      </w:docPartObj>
    </w:sdtPr>
    <w:sdtContent>
      <w:p w:rsidR="001841A2" w:rsidRDefault="001841A2">
        <w:pPr>
          <w:pStyle w:val="Footer"/>
          <w:jc w:val="center"/>
        </w:pPr>
        <w:fldSimple w:instr=" PAGE   \* MERGEFORMAT ">
          <w:r w:rsidR="00DC11D2">
            <w:rPr>
              <w:noProof/>
            </w:rPr>
            <w:t>2</w:t>
          </w:r>
        </w:fldSimple>
      </w:p>
    </w:sdtContent>
  </w:sdt>
  <w:p w:rsidR="001841A2" w:rsidRDefault="001841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5BF" w:rsidRDefault="00C555BF" w:rsidP="001841A2">
      <w:pPr>
        <w:spacing w:after="0" w:line="240" w:lineRule="auto"/>
      </w:pPr>
      <w:r>
        <w:separator/>
      </w:r>
    </w:p>
  </w:footnote>
  <w:footnote w:type="continuationSeparator" w:id="0">
    <w:p w:rsidR="00C555BF" w:rsidRDefault="00C555BF" w:rsidP="001841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1D2" w:rsidRDefault="00DC11D2">
    <w:pPr>
      <w:pStyle w:val="Header"/>
      <w:rPr>
        <w:rFonts w:hint="cs"/>
        <w:rtl/>
      </w:rPr>
    </w:pPr>
    <w:r>
      <w:t xml:space="preserve">Instructor: </w:t>
    </w:r>
    <w:proofErr w:type="spellStart"/>
    <w:r>
      <w:t>Micheal</w:t>
    </w:r>
    <w:proofErr w:type="spellEnd"/>
    <w:r>
      <w:t xml:space="preserve"> Humphries     Principles of Investment Handout                    </w:t>
    </w:r>
    <w:r>
      <w:rPr>
        <w:rFonts w:hint="cs"/>
        <w:rtl/>
      </w:rPr>
      <w:t>בס"ד</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1A77"/>
    <w:multiLevelType w:val="multilevel"/>
    <w:tmpl w:val="CD48E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CF658A"/>
    <w:multiLevelType w:val="multilevel"/>
    <w:tmpl w:val="417C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743095"/>
    <w:multiLevelType w:val="multilevel"/>
    <w:tmpl w:val="16AE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characterSpacingControl w:val="doNotCompress"/>
  <w:footnotePr>
    <w:footnote w:id="-1"/>
    <w:footnote w:id="0"/>
  </w:footnotePr>
  <w:endnotePr>
    <w:endnote w:id="-1"/>
    <w:endnote w:id="0"/>
  </w:endnotePr>
  <w:compat/>
  <w:rsids>
    <w:rsidRoot w:val="00954A6D"/>
    <w:rsid w:val="001841A2"/>
    <w:rsid w:val="00850833"/>
    <w:rsid w:val="00953C1E"/>
    <w:rsid w:val="00954A6D"/>
    <w:rsid w:val="00C555BF"/>
    <w:rsid w:val="00DC11D2"/>
    <w:rsid w:val="00F51EB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33"/>
  </w:style>
  <w:style w:type="paragraph" w:styleId="Heading1">
    <w:name w:val="heading 1"/>
    <w:basedOn w:val="Normal"/>
    <w:link w:val="Heading1Char"/>
    <w:uiPriority w:val="9"/>
    <w:qFormat/>
    <w:rsid w:val="00954A6D"/>
    <w:pPr>
      <w:spacing w:before="100" w:beforeAutospacing="1" w:after="100" w:afterAutospacing="1" w:line="240" w:lineRule="auto"/>
      <w:outlineLvl w:val="0"/>
    </w:pPr>
    <w:rPr>
      <w:rFonts w:ascii="Verdana" w:eastAsia="Times New Roman" w:hAnsi="Verdana" w:cs="Times New Roman"/>
      <w:b/>
      <w:bCs/>
      <w:color w:val="3B4FAE"/>
      <w:kern w:val="36"/>
      <w:sz w:val="24"/>
      <w:szCs w:val="24"/>
    </w:rPr>
  </w:style>
  <w:style w:type="paragraph" w:styleId="Heading3">
    <w:name w:val="heading 3"/>
    <w:basedOn w:val="Normal"/>
    <w:next w:val="Normal"/>
    <w:link w:val="Heading3Char"/>
    <w:uiPriority w:val="9"/>
    <w:semiHidden/>
    <w:unhideWhenUsed/>
    <w:qFormat/>
    <w:rsid w:val="00954A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A6D"/>
    <w:rPr>
      <w:rFonts w:ascii="Verdana" w:eastAsia="Times New Roman" w:hAnsi="Verdana" w:cs="Times New Roman"/>
      <w:b/>
      <w:bCs/>
      <w:color w:val="3B4FAE"/>
      <w:kern w:val="36"/>
      <w:sz w:val="24"/>
      <w:szCs w:val="24"/>
    </w:rPr>
  </w:style>
  <w:style w:type="character" w:styleId="Hyperlink">
    <w:name w:val="Hyperlink"/>
    <w:basedOn w:val="DefaultParagraphFont"/>
    <w:uiPriority w:val="99"/>
    <w:unhideWhenUsed/>
    <w:rsid w:val="00954A6D"/>
    <w:rPr>
      <w:color w:val="BF0023"/>
      <w:u w:val="single"/>
    </w:rPr>
  </w:style>
  <w:style w:type="paragraph" w:styleId="NormalWeb">
    <w:name w:val="Normal (Web)"/>
    <w:basedOn w:val="Normal"/>
    <w:uiPriority w:val="99"/>
    <w:semiHidden/>
    <w:unhideWhenUsed/>
    <w:rsid w:val="00954A6D"/>
    <w:pPr>
      <w:spacing w:before="100" w:beforeAutospacing="1" w:after="100" w:afterAutospacing="1" w:line="240" w:lineRule="auto"/>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954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A6D"/>
    <w:rPr>
      <w:rFonts w:ascii="Tahoma" w:hAnsi="Tahoma" w:cs="Tahoma"/>
      <w:sz w:val="16"/>
      <w:szCs w:val="16"/>
    </w:rPr>
  </w:style>
  <w:style w:type="character" w:customStyle="1" w:styleId="Heading3Char">
    <w:name w:val="Heading 3 Char"/>
    <w:basedOn w:val="DefaultParagraphFont"/>
    <w:link w:val="Heading3"/>
    <w:uiPriority w:val="9"/>
    <w:semiHidden/>
    <w:rsid w:val="00954A6D"/>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954A6D"/>
  </w:style>
  <w:style w:type="character" w:customStyle="1" w:styleId="mw-editsection">
    <w:name w:val="mw-editsection"/>
    <w:basedOn w:val="DefaultParagraphFont"/>
    <w:rsid w:val="00954A6D"/>
  </w:style>
  <w:style w:type="character" w:customStyle="1" w:styleId="mw-editsection-bracket">
    <w:name w:val="mw-editsection-bracket"/>
    <w:basedOn w:val="DefaultParagraphFont"/>
    <w:rsid w:val="00954A6D"/>
  </w:style>
  <w:style w:type="character" w:customStyle="1" w:styleId="mbox-text-span3">
    <w:name w:val="mbox-text-span3"/>
    <w:basedOn w:val="DefaultParagraphFont"/>
    <w:rsid w:val="00F51EBA"/>
  </w:style>
  <w:style w:type="character" w:customStyle="1" w:styleId="hide-when-compact2">
    <w:name w:val="hide-when-compact2"/>
    <w:basedOn w:val="DefaultParagraphFont"/>
    <w:rsid w:val="00F51EBA"/>
  </w:style>
  <w:style w:type="paragraph" w:styleId="Header">
    <w:name w:val="header"/>
    <w:basedOn w:val="Normal"/>
    <w:link w:val="HeaderChar"/>
    <w:uiPriority w:val="99"/>
    <w:semiHidden/>
    <w:unhideWhenUsed/>
    <w:rsid w:val="001841A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841A2"/>
  </w:style>
  <w:style w:type="paragraph" w:styleId="Footer">
    <w:name w:val="footer"/>
    <w:basedOn w:val="Normal"/>
    <w:link w:val="FooterChar"/>
    <w:uiPriority w:val="99"/>
    <w:unhideWhenUsed/>
    <w:rsid w:val="001841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41A2"/>
  </w:style>
</w:styles>
</file>

<file path=word/webSettings.xml><?xml version="1.0" encoding="utf-8"?>
<w:webSettings xmlns:r="http://schemas.openxmlformats.org/officeDocument/2006/relationships" xmlns:w="http://schemas.openxmlformats.org/wordprocessingml/2006/main">
  <w:divs>
    <w:div w:id="154272224">
      <w:bodyDiv w:val="1"/>
      <w:marLeft w:val="0"/>
      <w:marRight w:val="0"/>
      <w:marTop w:val="0"/>
      <w:marBottom w:val="0"/>
      <w:divBdr>
        <w:top w:val="none" w:sz="0" w:space="0" w:color="auto"/>
        <w:left w:val="none" w:sz="0" w:space="0" w:color="auto"/>
        <w:bottom w:val="none" w:sz="0" w:space="0" w:color="auto"/>
        <w:right w:val="none" w:sz="0" w:space="0" w:color="auto"/>
      </w:divBdr>
      <w:divsChild>
        <w:div w:id="813790410">
          <w:marLeft w:val="0"/>
          <w:marRight w:val="0"/>
          <w:marTop w:val="0"/>
          <w:marBottom w:val="0"/>
          <w:divBdr>
            <w:top w:val="none" w:sz="0" w:space="0" w:color="auto"/>
            <w:left w:val="none" w:sz="0" w:space="0" w:color="auto"/>
            <w:bottom w:val="none" w:sz="0" w:space="0" w:color="auto"/>
            <w:right w:val="none" w:sz="0" w:space="0" w:color="auto"/>
          </w:divBdr>
          <w:divsChild>
            <w:div w:id="1254705358">
              <w:marLeft w:val="0"/>
              <w:marRight w:val="0"/>
              <w:marTop w:val="0"/>
              <w:marBottom w:val="0"/>
              <w:divBdr>
                <w:top w:val="none" w:sz="0" w:space="0" w:color="auto"/>
                <w:left w:val="none" w:sz="0" w:space="0" w:color="auto"/>
                <w:bottom w:val="none" w:sz="0" w:space="0" w:color="auto"/>
                <w:right w:val="none" w:sz="0" w:space="0" w:color="auto"/>
              </w:divBdr>
              <w:divsChild>
                <w:div w:id="5549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96405">
      <w:bodyDiv w:val="1"/>
      <w:marLeft w:val="0"/>
      <w:marRight w:val="0"/>
      <w:marTop w:val="0"/>
      <w:marBottom w:val="0"/>
      <w:divBdr>
        <w:top w:val="none" w:sz="0" w:space="0" w:color="auto"/>
        <w:left w:val="none" w:sz="0" w:space="0" w:color="auto"/>
        <w:bottom w:val="none" w:sz="0" w:space="0" w:color="auto"/>
        <w:right w:val="none" w:sz="0" w:space="0" w:color="auto"/>
      </w:divBdr>
      <w:divsChild>
        <w:div w:id="1442384090">
          <w:marLeft w:val="0"/>
          <w:marRight w:val="0"/>
          <w:marTop w:val="0"/>
          <w:marBottom w:val="0"/>
          <w:divBdr>
            <w:top w:val="none" w:sz="0" w:space="0" w:color="auto"/>
            <w:left w:val="none" w:sz="0" w:space="0" w:color="auto"/>
            <w:bottom w:val="none" w:sz="0" w:space="0" w:color="auto"/>
            <w:right w:val="none" w:sz="0" w:space="0" w:color="auto"/>
          </w:divBdr>
          <w:divsChild>
            <w:div w:id="1326276220">
              <w:marLeft w:val="0"/>
              <w:marRight w:val="0"/>
              <w:marTop w:val="0"/>
              <w:marBottom w:val="0"/>
              <w:divBdr>
                <w:top w:val="none" w:sz="0" w:space="0" w:color="auto"/>
                <w:left w:val="none" w:sz="0" w:space="0" w:color="auto"/>
                <w:bottom w:val="none" w:sz="0" w:space="0" w:color="auto"/>
                <w:right w:val="none" w:sz="0" w:space="0" w:color="auto"/>
              </w:divBdr>
              <w:divsChild>
                <w:div w:id="154339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4533">
      <w:bodyDiv w:val="1"/>
      <w:marLeft w:val="0"/>
      <w:marRight w:val="0"/>
      <w:marTop w:val="0"/>
      <w:marBottom w:val="0"/>
      <w:divBdr>
        <w:top w:val="none" w:sz="0" w:space="0" w:color="auto"/>
        <w:left w:val="none" w:sz="0" w:space="0" w:color="auto"/>
        <w:bottom w:val="none" w:sz="0" w:space="0" w:color="auto"/>
        <w:right w:val="none" w:sz="0" w:space="0" w:color="auto"/>
      </w:divBdr>
      <w:divsChild>
        <w:div w:id="1818299630">
          <w:marLeft w:val="0"/>
          <w:marRight w:val="0"/>
          <w:marTop w:val="0"/>
          <w:marBottom w:val="0"/>
          <w:divBdr>
            <w:top w:val="none" w:sz="0" w:space="0" w:color="auto"/>
            <w:left w:val="none" w:sz="0" w:space="0" w:color="auto"/>
            <w:bottom w:val="none" w:sz="0" w:space="0" w:color="auto"/>
            <w:right w:val="none" w:sz="0" w:space="0" w:color="auto"/>
          </w:divBdr>
          <w:divsChild>
            <w:div w:id="1033387639">
              <w:marLeft w:val="0"/>
              <w:marRight w:val="0"/>
              <w:marTop w:val="0"/>
              <w:marBottom w:val="0"/>
              <w:divBdr>
                <w:top w:val="none" w:sz="0" w:space="0" w:color="auto"/>
                <w:left w:val="none" w:sz="0" w:space="0" w:color="auto"/>
                <w:bottom w:val="none" w:sz="0" w:space="0" w:color="auto"/>
                <w:right w:val="none" w:sz="0" w:space="0" w:color="auto"/>
              </w:divBdr>
              <w:divsChild>
                <w:div w:id="126695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29614">
      <w:bodyDiv w:val="1"/>
      <w:marLeft w:val="0"/>
      <w:marRight w:val="0"/>
      <w:marTop w:val="0"/>
      <w:marBottom w:val="0"/>
      <w:divBdr>
        <w:top w:val="none" w:sz="0" w:space="0" w:color="auto"/>
        <w:left w:val="none" w:sz="0" w:space="0" w:color="auto"/>
        <w:bottom w:val="none" w:sz="0" w:space="0" w:color="auto"/>
        <w:right w:val="none" w:sz="0" w:space="0" w:color="auto"/>
      </w:divBdr>
      <w:divsChild>
        <w:div w:id="1964073352">
          <w:marLeft w:val="0"/>
          <w:marRight w:val="0"/>
          <w:marTop w:val="0"/>
          <w:marBottom w:val="0"/>
          <w:divBdr>
            <w:top w:val="none" w:sz="0" w:space="0" w:color="auto"/>
            <w:left w:val="none" w:sz="0" w:space="0" w:color="auto"/>
            <w:bottom w:val="none" w:sz="0" w:space="0" w:color="auto"/>
            <w:right w:val="none" w:sz="0" w:space="0" w:color="auto"/>
          </w:divBdr>
          <w:divsChild>
            <w:div w:id="1415202937">
              <w:marLeft w:val="206"/>
              <w:marRight w:val="206"/>
              <w:marTop w:val="206"/>
              <w:marBottom w:val="411"/>
              <w:divBdr>
                <w:top w:val="none" w:sz="0" w:space="0" w:color="auto"/>
                <w:left w:val="none" w:sz="0" w:space="0" w:color="auto"/>
                <w:bottom w:val="none" w:sz="0" w:space="0" w:color="auto"/>
                <w:right w:val="none" w:sz="0" w:space="0" w:color="auto"/>
              </w:divBdr>
              <w:divsChild>
                <w:div w:id="1466043925">
                  <w:marLeft w:val="0"/>
                  <w:marRight w:val="0"/>
                  <w:marTop w:val="0"/>
                  <w:marBottom w:val="0"/>
                  <w:divBdr>
                    <w:top w:val="none" w:sz="0" w:space="0" w:color="auto"/>
                    <w:left w:val="none" w:sz="0" w:space="0" w:color="auto"/>
                    <w:bottom w:val="none" w:sz="0" w:space="0" w:color="auto"/>
                    <w:right w:val="none" w:sz="0" w:space="0" w:color="auto"/>
                  </w:divBdr>
                  <w:divsChild>
                    <w:div w:id="584610226">
                      <w:marLeft w:val="0"/>
                      <w:marRight w:val="0"/>
                      <w:marTop w:val="0"/>
                      <w:marBottom w:val="0"/>
                      <w:divBdr>
                        <w:top w:val="none" w:sz="0" w:space="0" w:color="auto"/>
                        <w:left w:val="none" w:sz="0" w:space="0" w:color="auto"/>
                        <w:bottom w:val="none" w:sz="0" w:space="0" w:color="auto"/>
                        <w:right w:val="none" w:sz="0" w:space="0" w:color="auto"/>
                      </w:divBdr>
                      <w:divsChild>
                        <w:div w:id="1468934538">
                          <w:marLeft w:val="0"/>
                          <w:marRight w:val="0"/>
                          <w:marTop w:val="0"/>
                          <w:marBottom w:val="0"/>
                          <w:divBdr>
                            <w:top w:val="none" w:sz="0" w:space="0" w:color="auto"/>
                            <w:left w:val="none" w:sz="0" w:space="0" w:color="auto"/>
                            <w:bottom w:val="none" w:sz="0" w:space="0" w:color="auto"/>
                            <w:right w:val="none" w:sz="0" w:space="0" w:color="auto"/>
                          </w:divBdr>
                          <w:divsChild>
                            <w:div w:id="1948388015">
                              <w:marLeft w:val="0"/>
                              <w:marRight w:val="0"/>
                              <w:marTop w:val="0"/>
                              <w:marBottom w:val="0"/>
                              <w:divBdr>
                                <w:top w:val="none" w:sz="0" w:space="0" w:color="auto"/>
                                <w:left w:val="none" w:sz="0" w:space="0" w:color="auto"/>
                                <w:bottom w:val="none" w:sz="0" w:space="0" w:color="auto"/>
                                <w:right w:val="none" w:sz="0" w:space="0" w:color="auto"/>
                              </w:divBdr>
                              <w:divsChild>
                                <w:div w:id="464272438">
                                  <w:marLeft w:val="0"/>
                                  <w:marRight w:val="0"/>
                                  <w:marTop w:val="0"/>
                                  <w:marBottom w:val="0"/>
                                  <w:divBdr>
                                    <w:top w:val="single" w:sz="2" w:space="0" w:color="CAE4F3"/>
                                    <w:left w:val="single" w:sz="48" w:space="0" w:color="CAE4F3"/>
                                    <w:bottom w:val="single" w:sz="48" w:space="0" w:color="CAE4F3"/>
                                    <w:right w:val="single" w:sz="48" w:space="0" w:color="CAE4F3"/>
                                  </w:divBdr>
                                  <w:divsChild>
                                    <w:div w:id="61682762">
                                      <w:marLeft w:val="0"/>
                                      <w:marRight w:val="0"/>
                                      <w:marTop w:val="0"/>
                                      <w:marBottom w:val="0"/>
                                      <w:divBdr>
                                        <w:top w:val="none" w:sz="0" w:space="0" w:color="auto"/>
                                        <w:left w:val="none" w:sz="0" w:space="0" w:color="auto"/>
                                        <w:bottom w:val="none" w:sz="0" w:space="0" w:color="auto"/>
                                        <w:right w:val="none" w:sz="0" w:space="0" w:color="auto"/>
                                      </w:divBdr>
                                      <w:divsChild>
                                        <w:div w:id="1593662771">
                                          <w:marLeft w:val="0"/>
                                          <w:marRight w:val="0"/>
                                          <w:marTop w:val="0"/>
                                          <w:marBottom w:val="0"/>
                                          <w:divBdr>
                                            <w:top w:val="none" w:sz="0" w:space="0" w:color="auto"/>
                                            <w:left w:val="none" w:sz="0" w:space="0" w:color="auto"/>
                                            <w:bottom w:val="none" w:sz="0" w:space="0" w:color="auto"/>
                                            <w:right w:val="none" w:sz="0" w:space="0" w:color="auto"/>
                                          </w:divBdr>
                                          <w:divsChild>
                                            <w:div w:id="17544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716378">
      <w:bodyDiv w:val="1"/>
      <w:marLeft w:val="0"/>
      <w:marRight w:val="0"/>
      <w:marTop w:val="0"/>
      <w:marBottom w:val="0"/>
      <w:divBdr>
        <w:top w:val="none" w:sz="0" w:space="0" w:color="auto"/>
        <w:left w:val="none" w:sz="0" w:space="0" w:color="auto"/>
        <w:bottom w:val="none" w:sz="0" w:space="0" w:color="auto"/>
        <w:right w:val="none" w:sz="0" w:space="0" w:color="auto"/>
      </w:divBdr>
      <w:divsChild>
        <w:div w:id="1009453673">
          <w:marLeft w:val="0"/>
          <w:marRight w:val="0"/>
          <w:marTop w:val="0"/>
          <w:marBottom w:val="0"/>
          <w:divBdr>
            <w:top w:val="none" w:sz="0" w:space="0" w:color="auto"/>
            <w:left w:val="none" w:sz="0" w:space="0" w:color="auto"/>
            <w:bottom w:val="none" w:sz="0" w:space="0" w:color="auto"/>
            <w:right w:val="none" w:sz="0" w:space="0" w:color="auto"/>
          </w:divBdr>
          <w:divsChild>
            <w:div w:id="1732733457">
              <w:marLeft w:val="0"/>
              <w:marRight w:val="0"/>
              <w:marTop w:val="0"/>
              <w:marBottom w:val="0"/>
              <w:divBdr>
                <w:top w:val="none" w:sz="0" w:space="0" w:color="auto"/>
                <w:left w:val="none" w:sz="0" w:space="0" w:color="auto"/>
                <w:bottom w:val="none" w:sz="0" w:space="0" w:color="auto"/>
                <w:right w:val="none" w:sz="0" w:space="0" w:color="auto"/>
              </w:divBdr>
              <w:divsChild>
                <w:div w:id="5844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4111">
      <w:bodyDiv w:val="1"/>
      <w:marLeft w:val="0"/>
      <w:marRight w:val="0"/>
      <w:marTop w:val="0"/>
      <w:marBottom w:val="0"/>
      <w:divBdr>
        <w:top w:val="none" w:sz="0" w:space="0" w:color="auto"/>
        <w:left w:val="none" w:sz="0" w:space="0" w:color="auto"/>
        <w:bottom w:val="none" w:sz="0" w:space="0" w:color="auto"/>
        <w:right w:val="none" w:sz="0" w:space="0" w:color="auto"/>
      </w:divBdr>
      <w:divsChild>
        <w:div w:id="1845171201">
          <w:marLeft w:val="0"/>
          <w:marRight w:val="0"/>
          <w:marTop w:val="0"/>
          <w:marBottom w:val="0"/>
          <w:divBdr>
            <w:top w:val="none" w:sz="0" w:space="0" w:color="auto"/>
            <w:left w:val="none" w:sz="0" w:space="0" w:color="auto"/>
            <w:bottom w:val="none" w:sz="0" w:space="0" w:color="auto"/>
            <w:right w:val="none" w:sz="0" w:space="0" w:color="auto"/>
          </w:divBdr>
          <w:divsChild>
            <w:div w:id="1479034824">
              <w:marLeft w:val="0"/>
              <w:marRight w:val="0"/>
              <w:marTop w:val="0"/>
              <w:marBottom w:val="0"/>
              <w:divBdr>
                <w:top w:val="none" w:sz="0" w:space="0" w:color="auto"/>
                <w:left w:val="none" w:sz="0" w:space="0" w:color="auto"/>
                <w:bottom w:val="none" w:sz="0" w:space="0" w:color="auto"/>
                <w:right w:val="none" w:sz="0" w:space="0" w:color="auto"/>
              </w:divBdr>
              <w:divsChild>
                <w:div w:id="21086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41213">
      <w:bodyDiv w:val="1"/>
      <w:marLeft w:val="0"/>
      <w:marRight w:val="0"/>
      <w:marTop w:val="0"/>
      <w:marBottom w:val="0"/>
      <w:divBdr>
        <w:top w:val="none" w:sz="0" w:space="0" w:color="auto"/>
        <w:left w:val="none" w:sz="0" w:space="0" w:color="auto"/>
        <w:bottom w:val="none" w:sz="0" w:space="0" w:color="auto"/>
        <w:right w:val="none" w:sz="0" w:space="0" w:color="auto"/>
      </w:divBdr>
      <w:divsChild>
        <w:div w:id="184755169">
          <w:marLeft w:val="0"/>
          <w:marRight w:val="0"/>
          <w:marTop w:val="0"/>
          <w:marBottom w:val="0"/>
          <w:divBdr>
            <w:top w:val="none" w:sz="0" w:space="0" w:color="auto"/>
            <w:left w:val="none" w:sz="0" w:space="0" w:color="auto"/>
            <w:bottom w:val="none" w:sz="0" w:space="0" w:color="auto"/>
            <w:right w:val="none" w:sz="0" w:space="0" w:color="auto"/>
          </w:divBdr>
          <w:divsChild>
            <w:div w:id="195512766">
              <w:marLeft w:val="0"/>
              <w:marRight w:val="0"/>
              <w:marTop w:val="0"/>
              <w:marBottom w:val="0"/>
              <w:divBdr>
                <w:top w:val="none" w:sz="0" w:space="0" w:color="auto"/>
                <w:left w:val="none" w:sz="0" w:space="0" w:color="auto"/>
                <w:bottom w:val="none" w:sz="0" w:space="0" w:color="auto"/>
                <w:right w:val="none" w:sz="0" w:space="0" w:color="auto"/>
              </w:divBdr>
              <w:divsChild>
                <w:div w:id="17177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2056">
      <w:bodyDiv w:val="1"/>
      <w:marLeft w:val="0"/>
      <w:marRight w:val="0"/>
      <w:marTop w:val="0"/>
      <w:marBottom w:val="0"/>
      <w:divBdr>
        <w:top w:val="none" w:sz="0" w:space="0" w:color="auto"/>
        <w:left w:val="none" w:sz="0" w:space="0" w:color="auto"/>
        <w:bottom w:val="none" w:sz="0" w:space="0" w:color="auto"/>
        <w:right w:val="none" w:sz="0" w:space="0" w:color="auto"/>
      </w:divBdr>
      <w:divsChild>
        <w:div w:id="904922596">
          <w:marLeft w:val="0"/>
          <w:marRight w:val="0"/>
          <w:marTop w:val="0"/>
          <w:marBottom w:val="0"/>
          <w:divBdr>
            <w:top w:val="none" w:sz="0" w:space="0" w:color="auto"/>
            <w:left w:val="none" w:sz="0" w:space="0" w:color="auto"/>
            <w:bottom w:val="none" w:sz="0" w:space="0" w:color="auto"/>
            <w:right w:val="none" w:sz="0" w:space="0" w:color="auto"/>
          </w:divBdr>
          <w:divsChild>
            <w:div w:id="1882352939">
              <w:marLeft w:val="0"/>
              <w:marRight w:val="0"/>
              <w:marTop w:val="0"/>
              <w:marBottom w:val="0"/>
              <w:divBdr>
                <w:top w:val="none" w:sz="0" w:space="0" w:color="auto"/>
                <w:left w:val="none" w:sz="0" w:space="0" w:color="auto"/>
                <w:bottom w:val="none" w:sz="0" w:space="0" w:color="auto"/>
                <w:right w:val="none" w:sz="0" w:space="0" w:color="auto"/>
              </w:divBdr>
              <w:divsChild>
                <w:div w:id="10412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94738">
      <w:bodyDiv w:val="1"/>
      <w:marLeft w:val="0"/>
      <w:marRight w:val="0"/>
      <w:marTop w:val="0"/>
      <w:marBottom w:val="0"/>
      <w:divBdr>
        <w:top w:val="none" w:sz="0" w:space="0" w:color="auto"/>
        <w:left w:val="none" w:sz="0" w:space="0" w:color="auto"/>
        <w:bottom w:val="none" w:sz="0" w:space="0" w:color="auto"/>
        <w:right w:val="none" w:sz="0" w:space="0" w:color="auto"/>
      </w:divBdr>
      <w:divsChild>
        <w:div w:id="1376663916">
          <w:marLeft w:val="0"/>
          <w:marRight w:val="0"/>
          <w:marTop w:val="0"/>
          <w:marBottom w:val="0"/>
          <w:divBdr>
            <w:top w:val="none" w:sz="0" w:space="0" w:color="auto"/>
            <w:left w:val="none" w:sz="0" w:space="0" w:color="auto"/>
            <w:bottom w:val="none" w:sz="0" w:space="0" w:color="auto"/>
            <w:right w:val="none" w:sz="0" w:space="0" w:color="auto"/>
          </w:divBdr>
          <w:divsChild>
            <w:div w:id="2058046525">
              <w:marLeft w:val="0"/>
              <w:marRight w:val="0"/>
              <w:marTop w:val="0"/>
              <w:marBottom w:val="0"/>
              <w:divBdr>
                <w:top w:val="none" w:sz="0" w:space="0" w:color="auto"/>
                <w:left w:val="none" w:sz="0" w:space="0" w:color="auto"/>
                <w:bottom w:val="none" w:sz="0" w:space="0" w:color="auto"/>
                <w:right w:val="none" w:sz="0" w:space="0" w:color="auto"/>
              </w:divBdr>
              <w:divsChild>
                <w:div w:id="182458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Credit_risk" TargetMode="External"/><Relationship Id="rId117" Type="http://schemas.openxmlformats.org/officeDocument/2006/relationships/hyperlink" Target="http://www.morganstanley.com" TargetMode="External"/><Relationship Id="rId21" Type="http://schemas.openxmlformats.org/officeDocument/2006/relationships/hyperlink" Target="http://en.wikipedia.org/wiki/Clearing_(finance)" TargetMode="External"/><Relationship Id="rId42" Type="http://schemas.openxmlformats.org/officeDocument/2006/relationships/hyperlink" Target="http://en.wikipedia.org/wiki/Fair_value" TargetMode="External"/><Relationship Id="rId47" Type="http://schemas.openxmlformats.org/officeDocument/2006/relationships/hyperlink" Target="http://en.wikipedia.org/wiki/Banking" TargetMode="External"/><Relationship Id="rId63" Type="http://schemas.openxmlformats.org/officeDocument/2006/relationships/hyperlink" Target="http://en.wikipedia.org/wiki/Security_(finance)" TargetMode="External"/><Relationship Id="rId68" Type="http://schemas.openxmlformats.org/officeDocument/2006/relationships/hyperlink" Target="http://en.wikipedia.org/wiki/Clearing_(finance)" TargetMode="External"/><Relationship Id="rId84" Type="http://schemas.openxmlformats.org/officeDocument/2006/relationships/hyperlink" Target="http://www.bocigroup.com/" TargetMode="External"/><Relationship Id="rId89" Type="http://schemas.openxmlformats.org/officeDocument/2006/relationships/hyperlink" Target="http://www.newone.com.hk/cmshk/en/index.html" TargetMode="External"/><Relationship Id="rId112" Type="http://schemas.openxmlformats.org/officeDocument/2006/relationships/hyperlink" Target="https://www.kcg.com/" TargetMode="External"/><Relationship Id="rId133" Type="http://schemas.openxmlformats.org/officeDocument/2006/relationships/hyperlink" Target="http://www.ldcom.com" TargetMode="External"/><Relationship Id="rId138" Type="http://schemas.openxmlformats.org/officeDocument/2006/relationships/hyperlink" Target="http://www.tradelinkllc.com/" TargetMode="External"/><Relationship Id="rId16" Type="http://schemas.openxmlformats.org/officeDocument/2006/relationships/hyperlink" Target="http://en.wikipedia.org/wiki/Margin_(finance)" TargetMode="External"/><Relationship Id="rId107" Type="http://schemas.openxmlformats.org/officeDocument/2006/relationships/hyperlink" Target="http://www.gs.com/" TargetMode="External"/><Relationship Id="rId11" Type="http://schemas.openxmlformats.org/officeDocument/2006/relationships/hyperlink" Target="http://en.wikipedia.org/wiki/Futures_exchange" TargetMode="External"/><Relationship Id="rId32" Type="http://schemas.openxmlformats.org/officeDocument/2006/relationships/hyperlink" Target="http://en.wikipedia.org/wiki/Futures_exchange" TargetMode="External"/><Relationship Id="rId37" Type="http://schemas.openxmlformats.org/officeDocument/2006/relationships/hyperlink" Target="http://en.wikipedia.org/wiki/Futures_contract" TargetMode="External"/><Relationship Id="rId53" Type="http://schemas.openxmlformats.org/officeDocument/2006/relationships/hyperlink" Target="http://en.wikipedia.org/wiki/Margin_(finance)" TargetMode="External"/><Relationship Id="rId58" Type="http://schemas.openxmlformats.org/officeDocument/2006/relationships/hyperlink" Target="http://en.wikipedia.org/wiki/TARGET2" TargetMode="External"/><Relationship Id="rId74" Type="http://schemas.openxmlformats.org/officeDocument/2006/relationships/hyperlink" Target="http://www.sec.gov/divisions/marketreg/mrclearing.shtml" TargetMode="External"/><Relationship Id="rId79" Type="http://schemas.openxmlformats.org/officeDocument/2006/relationships/hyperlink" Target="http://www.bmo.com" TargetMode="External"/><Relationship Id="rId102" Type="http://schemas.openxmlformats.org/officeDocument/2006/relationships/hyperlink" Target="http://eaglemarketmakers.com/index.html" TargetMode="External"/><Relationship Id="rId123" Type="http://schemas.openxmlformats.org/officeDocument/2006/relationships/hyperlink" Target="http://www.rand-usa.com" TargetMode="External"/><Relationship Id="rId128" Type="http://schemas.openxmlformats.org/officeDocument/2006/relationships/hyperlink" Target="http://www.rcgdirect.com/" TargetMode="External"/><Relationship Id="rId144"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s://www.chshedging.com/" TargetMode="External"/><Relationship Id="rId95" Type="http://schemas.openxmlformats.org/officeDocument/2006/relationships/hyperlink" Target="http://www.credit-suisse.com" TargetMode="External"/><Relationship Id="rId22" Type="http://schemas.openxmlformats.org/officeDocument/2006/relationships/hyperlink" Target="http://en.wikipedia.org/wiki/Settlement_(finance)" TargetMode="External"/><Relationship Id="rId27" Type="http://schemas.openxmlformats.org/officeDocument/2006/relationships/hyperlink" Target="http://en.wikipedia.org/wiki/Counterparty" TargetMode="External"/><Relationship Id="rId43" Type="http://schemas.openxmlformats.org/officeDocument/2006/relationships/hyperlink" Target="http://en.wikipedia.org/wiki/Market_price" TargetMode="External"/><Relationship Id="rId48" Type="http://schemas.openxmlformats.org/officeDocument/2006/relationships/hyperlink" Target="http://en.wikipedia.org/wiki/Finance" TargetMode="External"/><Relationship Id="rId64" Type="http://schemas.openxmlformats.org/officeDocument/2006/relationships/hyperlink" Target="http://en.wikipedia.org/wiki/Delivery_versus_payment" TargetMode="External"/><Relationship Id="rId69" Type="http://schemas.openxmlformats.org/officeDocument/2006/relationships/hyperlink" Target="http://en.wikipedia.org/wiki/Netting" TargetMode="External"/><Relationship Id="rId113" Type="http://schemas.openxmlformats.org/officeDocument/2006/relationships/hyperlink" Target="http://www.macquarie.com/futures" TargetMode="External"/><Relationship Id="rId118" Type="http://schemas.openxmlformats.org/officeDocument/2006/relationships/hyperlink" Target="http://www.nanhua.net" TargetMode="External"/><Relationship Id="rId134" Type="http://schemas.openxmlformats.org/officeDocument/2006/relationships/hyperlink" Target="http://www.scotiabank.com" TargetMode="External"/><Relationship Id="rId139" Type="http://schemas.openxmlformats.org/officeDocument/2006/relationships/hyperlink" Target="http://www.ubswarburg.com/" TargetMode="External"/><Relationship Id="rId80" Type="http://schemas.openxmlformats.org/officeDocument/2006/relationships/hyperlink" Target="http://www.barx.com/" TargetMode="External"/><Relationship Id="rId85" Type="http://schemas.openxmlformats.org/officeDocument/2006/relationships/hyperlink" Target="http://www.bpgasandpower.com" TargetMode="External"/><Relationship Id="rId3" Type="http://schemas.openxmlformats.org/officeDocument/2006/relationships/settings" Target="settings.xml"/><Relationship Id="rId12" Type="http://schemas.openxmlformats.org/officeDocument/2006/relationships/hyperlink" Target="http://en.wikipedia.org/wiki/Exchange_(organized_market)" TargetMode="External"/><Relationship Id="rId17" Type="http://schemas.openxmlformats.org/officeDocument/2006/relationships/hyperlink" Target="http://en.wikipedia.org/wiki/Novation" TargetMode="External"/><Relationship Id="rId25" Type="http://schemas.openxmlformats.org/officeDocument/2006/relationships/hyperlink" Target="http://en.wikipedia.org/wiki/Financial_instrument" TargetMode="External"/><Relationship Id="rId33" Type="http://schemas.openxmlformats.org/officeDocument/2006/relationships/hyperlink" Target="http://en.wikipedia.org/wiki/Performance_bond" TargetMode="External"/><Relationship Id="rId38" Type="http://schemas.openxmlformats.org/officeDocument/2006/relationships/hyperlink" Target="http://en.wikipedia.org/wiki/Domino_effect" TargetMode="External"/><Relationship Id="rId46" Type="http://schemas.openxmlformats.org/officeDocument/2006/relationships/hyperlink" Target="http://en.wikipedia.org/wiki/Historical_cost" TargetMode="External"/><Relationship Id="rId59" Type="http://schemas.openxmlformats.org/officeDocument/2006/relationships/hyperlink" Target="http://en.wikipedia.org/wiki/Euro_Banking_Association" TargetMode="External"/><Relationship Id="rId67" Type="http://schemas.openxmlformats.org/officeDocument/2006/relationships/hyperlink" Target="http://en.wikipedia.org/wiki/Settlement_date" TargetMode="External"/><Relationship Id="rId103" Type="http://schemas.openxmlformats.org/officeDocument/2006/relationships/hyperlink" Target="http://www.mb.seb.se" TargetMode="External"/><Relationship Id="rId108" Type="http://schemas.openxmlformats.org/officeDocument/2006/relationships/hyperlink" Target="http://www.hsbc.com/" TargetMode="External"/><Relationship Id="rId116" Type="http://schemas.openxmlformats.org/officeDocument/2006/relationships/hyperlink" Target="http://www.mizuhosecurities.com/us" TargetMode="External"/><Relationship Id="rId124" Type="http://schemas.openxmlformats.org/officeDocument/2006/relationships/hyperlink" Target="https://www.rbccm.com/" TargetMode="External"/><Relationship Id="rId129" Type="http://schemas.openxmlformats.org/officeDocument/2006/relationships/hyperlink" Target="http://www.rbc.com" TargetMode="External"/><Relationship Id="rId137" Type="http://schemas.openxmlformats.org/officeDocument/2006/relationships/hyperlink" Target="http://www.timberhill.com/" TargetMode="External"/><Relationship Id="rId20" Type="http://schemas.openxmlformats.org/officeDocument/2006/relationships/hyperlink" Target="http://en.wikipedia.org/wiki/Mark_to_market" TargetMode="External"/><Relationship Id="rId41" Type="http://schemas.openxmlformats.org/officeDocument/2006/relationships/hyperlink" Target="http://en.wikipedia.org/wiki/List_of_FASB_Pronouncements" TargetMode="External"/><Relationship Id="rId54" Type="http://schemas.openxmlformats.org/officeDocument/2006/relationships/hyperlink" Target="http://en.wikipedia.org/wiki/Netting" TargetMode="External"/><Relationship Id="rId62" Type="http://schemas.openxmlformats.org/officeDocument/2006/relationships/hyperlink" Target="http://en.wikipedia.org/wiki/Business_process" TargetMode="External"/><Relationship Id="rId70" Type="http://schemas.openxmlformats.org/officeDocument/2006/relationships/hyperlink" Target="http://en.wikipedia.org/wiki/Novation" TargetMode="External"/><Relationship Id="rId75" Type="http://schemas.openxmlformats.org/officeDocument/2006/relationships/hyperlink" Target="http://www.abnamroclearing.com/en/index.html" TargetMode="External"/><Relationship Id="rId83" Type="http://schemas.openxmlformats.org/officeDocument/2006/relationships/hyperlink" Target="http://www.bnpparibas.com/" TargetMode="External"/><Relationship Id="rId88" Type="http://schemas.openxmlformats.org/officeDocument/2006/relationships/hyperlink" Target="http://www.cantor.com/" TargetMode="External"/><Relationship Id="rId91" Type="http://schemas.openxmlformats.org/officeDocument/2006/relationships/hyperlink" Target="http://www.cibcwm.com/wm/" TargetMode="External"/><Relationship Id="rId96" Type="http://schemas.openxmlformats.org/officeDocument/2006/relationships/hyperlink" Target="http://www.crosslandllc.com/" TargetMode="External"/><Relationship Id="rId111" Type="http://schemas.openxmlformats.org/officeDocument/2006/relationships/hyperlink" Target="http://www.jpmorgansecurities.com" TargetMode="External"/><Relationship Id="rId132" Type="http://schemas.openxmlformats.org/officeDocument/2006/relationships/hyperlink" Target="http://www.straitsfinancial.com" TargetMode="External"/><Relationship Id="rId140" Type="http://schemas.openxmlformats.org/officeDocument/2006/relationships/hyperlink" Target="http://www.visionfinancialmarkets.com/"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n.wikipedia.org/wiki/Collateral_(finance)" TargetMode="External"/><Relationship Id="rId23" Type="http://schemas.openxmlformats.org/officeDocument/2006/relationships/hyperlink" Target="http://en.wikipedia.org/wiki/Finance" TargetMode="External"/><Relationship Id="rId28" Type="http://schemas.openxmlformats.org/officeDocument/2006/relationships/hyperlink" Target="http://en.wikipedia.org/wiki/Broker" TargetMode="External"/><Relationship Id="rId36" Type="http://schemas.openxmlformats.org/officeDocument/2006/relationships/hyperlink" Target="http://en.wikipedia.org/wiki/Option_(finance)" TargetMode="External"/><Relationship Id="rId49" Type="http://schemas.openxmlformats.org/officeDocument/2006/relationships/hyperlink" Target="http://en.wikipedia.org/wiki/Financial_transaction" TargetMode="External"/><Relationship Id="rId57" Type="http://schemas.openxmlformats.org/officeDocument/2006/relationships/hyperlink" Target="http://en.wikipedia.org/wiki/Real_Time_Gross_Settlement" TargetMode="External"/><Relationship Id="rId106" Type="http://schemas.openxmlformats.org/officeDocument/2006/relationships/hyperlink" Target="http://www.gs.com/" TargetMode="External"/><Relationship Id="rId114" Type="http://schemas.openxmlformats.org/officeDocument/2006/relationships/hyperlink" Target="http://www.marexfinancial.com/" TargetMode="External"/><Relationship Id="rId119" Type="http://schemas.openxmlformats.org/officeDocument/2006/relationships/hyperlink" Target="http://www.fimat.com/content/newedgecom/en/home.html" TargetMode="External"/><Relationship Id="rId127" Type="http://schemas.openxmlformats.org/officeDocument/2006/relationships/hyperlink" Target="http://www.ronin-capital.com/" TargetMode="External"/><Relationship Id="rId10" Type="http://schemas.openxmlformats.org/officeDocument/2006/relationships/hyperlink" Target="http://en.wikipedia.org/wiki/Securities" TargetMode="External"/><Relationship Id="rId31" Type="http://schemas.openxmlformats.org/officeDocument/2006/relationships/hyperlink" Target="http://en.wikipedia.org/wiki/Derivative_(finance)" TargetMode="External"/><Relationship Id="rId44" Type="http://schemas.openxmlformats.org/officeDocument/2006/relationships/hyperlink" Target="http://en.wikipedia.org/wiki/Wikipedia:Citation_needed" TargetMode="External"/><Relationship Id="rId52" Type="http://schemas.openxmlformats.org/officeDocument/2006/relationships/hyperlink" Target="http://en.wikipedia.org/wiki/Financial_reporting" TargetMode="External"/><Relationship Id="rId60" Type="http://schemas.openxmlformats.org/officeDocument/2006/relationships/hyperlink" Target="http://en.wikipedia.org/wiki/Euro_Banking_Association" TargetMode="External"/><Relationship Id="rId65" Type="http://schemas.openxmlformats.org/officeDocument/2006/relationships/hyperlink" Target="http://en.wikipedia.org/wiki/Payment" TargetMode="External"/><Relationship Id="rId73" Type="http://schemas.openxmlformats.org/officeDocument/2006/relationships/hyperlink" Target="http://en.wikipedia.org/wiki/Property_right" TargetMode="External"/><Relationship Id="rId78" Type="http://schemas.openxmlformats.org/officeDocument/2006/relationships/hyperlink" Target="http://www.advantagefutures.com/" TargetMode="External"/><Relationship Id="rId81" Type="http://schemas.openxmlformats.org/officeDocument/2006/relationships/hyperlink" Target="http://BMOCM.com/" TargetMode="External"/><Relationship Id="rId86" Type="http://schemas.openxmlformats.org/officeDocument/2006/relationships/hyperlink" Target="http://www.bp.com" TargetMode="External"/><Relationship Id="rId94" Type="http://schemas.openxmlformats.org/officeDocument/2006/relationships/hyperlink" Target="http://www.credit-suisse.com/us/en/" TargetMode="External"/><Relationship Id="rId99" Type="http://schemas.openxmlformats.org/officeDocument/2006/relationships/hyperlink" Target="http://www.db.com/" TargetMode="External"/><Relationship Id="rId101" Type="http://schemas.openxmlformats.org/officeDocument/2006/relationships/hyperlink" Target="http://www.edfmancapital.com" TargetMode="External"/><Relationship Id="rId122" Type="http://schemas.openxmlformats.org/officeDocument/2006/relationships/hyperlink" Target="http://www.proximaclearing.com/" TargetMode="External"/><Relationship Id="rId130" Type="http://schemas.openxmlformats.org/officeDocument/2006/relationships/hyperlink" Target="http://www.sgcib.com" TargetMode="External"/><Relationship Id="rId135" Type="http://schemas.openxmlformats.org/officeDocument/2006/relationships/hyperlink" Target="http://www.rbs.co.uk" TargetMode="External"/><Relationship Id="rId14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wikipedia.org/wiki/Commodities" TargetMode="External"/><Relationship Id="rId13" Type="http://schemas.openxmlformats.org/officeDocument/2006/relationships/hyperlink" Target="http://en.wikipedia.org/wiki/Over-the-counter_(finance)" TargetMode="External"/><Relationship Id="rId18" Type="http://schemas.openxmlformats.org/officeDocument/2006/relationships/hyperlink" Target="http://en.wikipedia.org/wiki/Clearing_house_(finance)" TargetMode="External"/><Relationship Id="rId39" Type="http://schemas.openxmlformats.org/officeDocument/2006/relationships/image" Target="media/image1.png"/><Relationship Id="rId109" Type="http://schemas.openxmlformats.org/officeDocument/2006/relationships/hyperlink" Target="http://www.jefferies.com" TargetMode="External"/><Relationship Id="rId34" Type="http://schemas.openxmlformats.org/officeDocument/2006/relationships/hyperlink" Target="http://en.wikipedia.org/wiki/CME_SPAN" TargetMode="External"/><Relationship Id="rId50" Type="http://schemas.openxmlformats.org/officeDocument/2006/relationships/hyperlink" Target="http://en.wikipedia.org/wiki/Settlement_(finance)" TargetMode="External"/><Relationship Id="rId55" Type="http://schemas.openxmlformats.org/officeDocument/2006/relationships/hyperlink" Target="http://en.wikipedia.org/wiki/Tax" TargetMode="External"/><Relationship Id="rId76" Type="http://schemas.openxmlformats.org/officeDocument/2006/relationships/image" Target="media/image3.gif"/><Relationship Id="rId97" Type="http://schemas.openxmlformats.org/officeDocument/2006/relationships/hyperlink" Target="http://www.cunninghamfc.com" TargetMode="External"/><Relationship Id="rId104" Type="http://schemas.openxmlformats.org/officeDocument/2006/relationships/hyperlink" Target="http://www.ghfinancials.com/" TargetMode="External"/><Relationship Id="rId120" Type="http://schemas.openxmlformats.org/officeDocument/2006/relationships/hyperlink" Target="http://www.nomura.com/" TargetMode="External"/><Relationship Id="rId125" Type="http://schemas.openxmlformats.org/officeDocument/2006/relationships/hyperlink" Target="http://gbm.rbs.com/" TargetMode="External"/><Relationship Id="rId141" Type="http://schemas.openxmlformats.org/officeDocument/2006/relationships/hyperlink" Target="http://www.wellsfargo.com/com/securities" TargetMode="External"/><Relationship Id="rId7" Type="http://schemas.openxmlformats.org/officeDocument/2006/relationships/hyperlink" Target="http://en.wikipedia.org/wiki/Clearing_(finance)" TargetMode="External"/><Relationship Id="rId71" Type="http://schemas.openxmlformats.org/officeDocument/2006/relationships/hyperlink" Target="http://en.wikipedia.org/wiki/Contract" TargetMode="External"/><Relationship Id="rId92" Type="http://schemas.openxmlformats.org/officeDocument/2006/relationships/hyperlink" Target="http://icg.citi.com/icg/global_markets/" TargetMode="External"/><Relationship Id="rId2" Type="http://schemas.openxmlformats.org/officeDocument/2006/relationships/styles" Target="styles.xml"/><Relationship Id="rId29" Type="http://schemas.openxmlformats.org/officeDocument/2006/relationships/hyperlink" Target="http://en.wikipedia.org/wiki/Exchange_(organized_market)" TargetMode="External"/><Relationship Id="rId24" Type="http://schemas.openxmlformats.org/officeDocument/2006/relationships/hyperlink" Target="http://en.wikipedia.org/wiki/Collateral_(finance)" TargetMode="External"/><Relationship Id="rId40" Type="http://schemas.openxmlformats.org/officeDocument/2006/relationships/image" Target="media/image2.png"/><Relationship Id="rId45" Type="http://schemas.openxmlformats.org/officeDocument/2006/relationships/hyperlink" Target="http://en.wikipedia.org/wiki/Generally_Accepted_Accounting_Principles_(United_States)" TargetMode="External"/><Relationship Id="rId66" Type="http://schemas.openxmlformats.org/officeDocument/2006/relationships/hyperlink" Target="http://en.wikipedia.org/wiki/Contract" TargetMode="External"/><Relationship Id="rId87" Type="http://schemas.openxmlformats.org/officeDocument/2006/relationships/hyperlink" Target="http://www.bunge.com" TargetMode="External"/><Relationship Id="rId110" Type="http://schemas.openxmlformats.org/officeDocument/2006/relationships/hyperlink" Target="http://www.jumptrading.com" TargetMode="External"/><Relationship Id="rId115" Type="http://schemas.openxmlformats.org/officeDocument/2006/relationships/hyperlink" Target="http://www.ml.com/" TargetMode="External"/><Relationship Id="rId131" Type="http://schemas.openxmlformats.org/officeDocument/2006/relationships/hyperlink" Target="http://www.statestreetglobalmarkets.com/" TargetMode="External"/><Relationship Id="rId136" Type="http://schemas.openxmlformats.org/officeDocument/2006/relationships/hyperlink" Target="http://www.td.com" TargetMode="External"/><Relationship Id="rId61" Type="http://schemas.openxmlformats.org/officeDocument/2006/relationships/hyperlink" Target="http://en.wikipedia.org/wiki/Federal_Reserve_System" TargetMode="External"/><Relationship Id="rId82" Type="http://schemas.openxmlformats.org/officeDocument/2006/relationships/hyperlink" Target="http://cib.bnpparibas.com" TargetMode="External"/><Relationship Id="rId19" Type="http://schemas.openxmlformats.org/officeDocument/2006/relationships/hyperlink" Target="http://en.wikipedia.org/wiki/Margin_call" TargetMode="External"/><Relationship Id="rId14" Type="http://schemas.openxmlformats.org/officeDocument/2006/relationships/hyperlink" Target="http://en.wikipedia.org/wiki/Netting" TargetMode="External"/><Relationship Id="rId30" Type="http://schemas.openxmlformats.org/officeDocument/2006/relationships/hyperlink" Target="http://en.wikipedia.org/wiki/Short_(finance)" TargetMode="External"/><Relationship Id="rId35" Type="http://schemas.openxmlformats.org/officeDocument/2006/relationships/hyperlink" Target="http://en.wikipedia.org/wiki/Chicago_Mercantile_Exchange" TargetMode="External"/><Relationship Id="rId56" Type="http://schemas.openxmlformats.org/officeDocument/2006/relationships/hyperlink" Target="http://en.wikipedia.org/wiki/Systemically_Important_Payment_Systems" TargetMode="External"/><Relationship Id="rId77" Type="http://schemas.openxmlformats.org/officeDocument/2006/relationships/hyperlink" Target="http://www.admis.com/" TargetMode="External"/><Relationship Id="rId100" Type="http://schemas.openxmlformats.org/officeDocument/2006/relationships/hyperlink" Target="http://www.dormantrading.com/" TargetMode="External"/><Relationship Id="rId105" Type="http://schemas.openxmlformats.org/officeDocument/2006/relationships/hyperlink" Target="http://www.gelbergroup.com" TargetMode="External"/><Relationship Id="rId126" Type="http://schemas.openxmlformats.org/officeDocument/2006/relationships/hyperlink" Target="http://rjobrien.com" TargetMode="External"/><Relationship Id="rId8" Type="http://schemas.openxmlformats.org/officeDocument/2006/relationships/hyperlink" Target="http://en.wikipedia.org/wiki/Settlement_(finance)" TargetMode="External"/><Relationship Id="rId51" Type="http://schemas.openxmlformats.org/officeDocument/2006/relationships/hyperlink" Target="http://en.wikipedia.org/wiki/Cheque" TargetMode="External"/><Relationship Id="rId72" Type="http://schemas.openxmlformats.org/officeDocument/2006/relationships/hyperlink" Target="http://en.wikipedia.org/wiki/Personal_rights" TargetMode="External"/><Relationship Id="rId93" Type="http://schemas.openxmlformats.org/officeDocument/2006/relationships/hyperlink" Target="http://www.ca-cib.com/" TargetMode="External"/><Relationship Id="rId98" Type="http://schemas.openxmlformats.org/officeDocument/2006/relationships/hyperlink" Target="http://www.us.daiwacm.com/" TargetMode="External"/><Relationship Id="rId121" Type="http://schemas.openxmlformats.org/officeDocument/2006/relationships/hyperlink" Target="http://www.phillipusa.com" TargetMode="External"/><Relationship Id="rId14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3705</Words>
  <Characters>21125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2014-06-26T13:48:00Z</cp:lastPrinted>
  <dcterms:created xsi:type="dcterms:W3CDTF">2014-06-26T13:28:00Z</dcterms:created>
  <dcterms:modified xsi:type="dcterms:W3CDTF">2014-06-26T13:50:00Z</dcterms:modified>
</cp:coreProperties>
</file>